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2F6F" w14:textId="77777777" w:rsidR="00977082" w:rsidRPr="008B5719" w:rsidRDefault="00977082" w:rsidP="00977082">
      <w:pPr>
        <w:autoSpaceDE w:val="0"/>
        <w:autoSpaceDN w:val="0"/>
        <w:ind w:left="2160" w:hanging="2160"/>
        <w:rPr>
          <w:rFonts w:ascii="Times New Roman" w:eastAsia="Times New Roman" w:hAnsi="Times New Roman" w:cs="Times New Roman"/>
          <w:b/>
          <w:bCs/>
          <w:u w:val="single"/>
        </w:rPr>
      </w:pPr>
    </w:p>
    <w:p w14:paraId="6D3B94EE" w14:textId="77777777" w:rsidR="00977082" w:rsidRPr="008B5719" w:rsidRDefault="00977082" w:rsidP="00977082">
      <w:pPr>
        <w:autoSpaceDE w:val="0"/>
        <w:autoSpaceDN w:val="0"/>
        <w:ind w:left="2160" w:hanging="21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/>
          <w:bCs/>
          <w:u w:val="single"/>
        </w:rPr>
        <w:t>SUMMARY</w:t>
      </w:r>
      <w:r w:rsidRPr="008B5719">
        <w:rPr>
          <w:rFonts w:ascii="Times New Roman" w:eastAsia="Times New Roman" w:hAnsi="Times New Roman" w:cs="Times New Roman"/>
          <w:b/>
          <w:bCs/>
        </w:rPr>
        <w:t>:</w:t>
      </w:r>
      <w:r w:rsidRPr="008B57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B5719">
        <w:rPr>
          <w:rFonts w:ascii="Times New Roman" w:eastAsia="Times New Roman" w:hAnsi="Times New Roman" w:cs="Times New Roman"/>
          <w:i/>
          <w:iCs/>
          <w:sz w:val="20"/>
          <w:szCs w:val="20"/>
        </w:rPr>
        <w:t>A skilled practitioner in debtor-side financial advising, representation of creditors’ committees, administration of liquidating trusts, claims management and objections, wind-down engagements, and preference analysis, settlement, valuation, and litigation.</w:t>
      </w:r>
      <w:r w:rsidRPr="008B57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1CD65F9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FCDD081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szCs w:val="20"/>
        </w:rPr>
      </w:pPr>
      <w:r w:rsidRPr="008B5719">
        <w:rPr>
          <w:rFonts w:ascii="Times New Roman" w:eastAsia="Times New Roman" w:hAnsi="Times New Roman" w:cs="Times New Roman"/>
          <w:b/>
          <w:bCs/>
          <w:u w:val="single"/>
        </w:rPr>
        <w:t>EXPERIENCE</w:t>
      </w:r>
      <w:r w:rsidRPr="008B5719">
        <w:rPr>
          <w:rFonts w:ascii="Times New Roman" w:eastAsia="Times New Roman" w:hAnsi="Times New Roman" w:cs="Times New Roman"/>
          <w:b/>
          <w:bCs/>
        </w:rPr>
        <w:t>:</w:t>
      </w:r>
      <w:r w:rsidRPr="008B57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B5719">
        <w:rPr>
          <w:rFonts w:ascii="Times New Roman" w:eastAsia="Times New Roman" w:hAnsi="Times New Roman" w:cs="Times New Roman"/>
          <w:b/>
          <w:bCs/>
          <w:szCs w:val="20"/>
          <w:u w:val="single"/>
        </w:rPr>
        <w:t>Gavin/Solmonese LLC</w:t>
      </w:r>
    </w:p>
    <w:p w14:paraId="75C4D6E7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szCs w:val="20"/>
        </w:rPr>
      </w:pPr>
      <w:r w:rsidRPr="008B5719">
        <w:rPr>
          <w:rFonts w:ascii="Times New Roman" w:eastAsia="Times New Roman" w:hAnsi="Times New Roman" w:cs="Times New Roman"/>
          <w:szCs w:val="20"/>
        </w:rPr>
        <w:tab/>
      </w:r>
      <w:r w:rsidRPr="008B5719">
        <w:rPr>
          <w:rFonts w:ascii="Times New Roman" w:eastAsia="Times New Roman" w:hAnsi="Times New Roman" w:cs="Times New Roman"/>
          <w:szCs w:val="20"/>
        </w:rPr>
        <w:tab/>
      </w:r>
      <w:r w:rsidRPr="008B5719">
        <w:rPr>
          <w:rFonts w:ascii="Times New Roman" w:eastAsia="Times New Roman" w:hAnsi="Times New Roman" w:cs="Times New Roman"/>
          <w:szCs w:val="20"/>
        </w:rPr>
        <w:tab/>
        <w:t>Wilmington, DE &amp; National US</w:t>
      </w:r>
    </w:p>
    <w:p w14:paraId="1B75474B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szCs w:val="20"/>
        </w:rPr>
      </w:pPr>
    </w:p>
    <w:p w14:paraId="7D3CC6F5" w14:textId="4236EA45" w:rsidR="00977082" w:rsidRPr="00677745" w:rsidRDefault="00977082" w:rsidP="00977082">
      <w:pPr>
        <w:keepNext/>
        <w:autoSpaceDE w:val="0"/>
        <w:autoSpaceDN w:val="0"/>
        <w:outlineLvl w:val="4"/>
        <w:rPr>
          <w:rFonts w:ascii="Times New Roman" w:eastAsia="Times New Roman" w:hAnsi="Times New Roman" w:cs="Times New Roman"/>
          <w:b/>
          <w:sz w:val="22"/>
          <w:szCs w:val="20"/>
        </w:rPr>
      </w:pPr>
      <w:r w:rsidRPr="00677745">
        <w:rPr>
          <w:rFonts w:ascii="Times New Roman" w:eastAsia="Times New Roman" w:hAnsi="Times New Roman" w:cs="Times New Roman"/>
          <w:b/>
          <w:i/>
          <w:szCs w:val="20"/>
        </w:rPr>
        <w:tab/>
      </w:r>
      <w:r w:rsidRPr="00677745">
        <w:rPr>
          <w:rFonts w:ascii="Times New Roman" w:eastAsia="Times New Roman" w:hAnsi="Times New Roman" w:cs="Times New Roman"/>
          <w:b/>
          <w:i/>
          <w:szCs w:val="20"/>
        </w:rPr>
        <w:tab/>
      </w:r>
      <w:r w:rsidRPr="00677745">
        <w:rPr>
          <w:rFonts w:ascii="Times New Roman" w:eastAsia="Times New Roman" w:hAnsi="Times New Roman" w:cs="Times New Roman"/>
          <w:b/>
          <w:i/>
          <w:szCs w:val="20"/>
        </w:rPr>
        <w:tab/>
      </w:r>
      <w:r w:rsidR="00677745" w:rsidRPr="00677745">
        <w:rPr>
          <w:rFonts w:ascii="Times New Roman" w:eastAsia="Times New Roman" w:hAnsi="Times New Roman" w:cs="Times New Roman"/>
          <w:b/>
          <w:i/>
          <w:szCs w:val="20"/>
        </w:rPr>
        <w:t xml:space="preserve">Senior </w:t>
      </w:r>
      <w:r w:rsidRPr="00677745">
        <w:rPr>
          <w:rFonts w:ascii="Times New Roman" w:eastAsia="Times New Roman" w:hAnsi="Times New Roman" w:cs="Times New Roman"/>
          <w:b/>
          <w:i/>
          <w:sz w:val="22"/>
          <w:szCs w:val="20"/>
        </w:rPr>
        <w:t xml:space="preserve">Director </w:t>
      </w:r>
    </w:p>
    <w:p w14:paraId="1FA9A67B" w14:textId="77777777" w:rsidR="00977082" w:rsidRPr="008B5719" w:rsidRDefault="00977082" w:rsidP="00977082">
      <w:pPr>
        <w:keepNext/>
        <w:autoSpaceDE w:val="0"/>
        <w:autoSpaceDN w:val="0"/>
        <w:outlineLvl w:val="4"/>
        <w:rPr>
          <w:rFonts w:ascii="Times New Roman" w:eastAsia="Times New Roman" w:hAnsi="Times New Roman" w:cs="Times New Roman"/>
          <w:bCs/>
          <w:i/>
          <w:sz w:val="22"/>
          <w:szCs w:val="20"/>
        </w:rPr>
      </w:pPr>
    </w:p>
    <w:p w14:paraId="4A6491BA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iCs/>
          <w:sz w:val="22"/>
        </w:rPr>
      </w:pPr>
      <w:r w:rsidRPr="008B5719">
        <w:rPr>
          <w:rFonts w:ascii="Times New Roman" w:eastAsia="Times New Roman" w:hAnsi="Times New Roman" w:cs="Times New Roman"/>
          <w:iCs/>
          <w:sz w:val="22"/>
        </w:rPr>
        <w:t xml:space="preserve">Provide restructuring, turnaround, asset sale and structured liquidation advisory services to debtors and creditors in bankruptcy and out-of-court restructurings, </w:t>
      </w:r>
      <w:proofErr w:type="gramStart"/>
      <w:r w:rsidRPr="008B5719">
        <w:rPr>
          <w:rFonts w:ascii="Times New Roman" w:eastAsia="Times New Roman" w:hAnsi="Times New Roman" w:cs="Times New Roman"/>
          <w:iCs/>
          <w:sz w:val="22"/>
        </w:rPr>
        <w:t>turnarounds</w:t>
      </w:r>
      <w:proofErr w:type="gramEnd"/>
      <w:r w:rsidRPr="008B5719">
        <w:rPr>
          <w:rFonts w:ascii="Times New Roman" w:eastAsia="Times New Roman" w:hAnsi="Times New Roman" w:cs="Times New Roman"/>
          <w:iCs/>
          <w:sz w:val="22"/>
        </w:rPr>
        <w:t xml:space="preserve"> and workouts in nationwide engagements. </w:t>
      </w:r>
    </w:p>
    <w:p w14:paraId="0F376CA2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iCs/>
        </w:rPr>
      </w:pPr>
    </w:p>
    <w:p w14:paraId="5C4F3115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/>
          <w:iCs/>
          <w:sz w:val="22"/>
        </w:rPr>
      </w:pPr>
      <w:r w:rsidRPr="008B5719">
        <w:rPr>
          <w:rFonts w:ascii="Times New Roman" w:eastAsia="Times New Roman" w:hAnsi="Times New Roman" w:cs="Times New Roman"/>
          <w:b/>
          <w:iCs/>
          <w:sz w:val="22"/>
        </w:rPr>
        <w:t>Representative Engagements:</w:t>
      </w:r>
    </w:p>
    <w:p w14:paraId="651ACF3D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/>
          <w:iCs/>
          <w:sz w:val="22"/>
        </w:rPr>
      </w:pPr>
    </w:p>
    <w:p w14:paraId="508D447B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/>
          <w:i/>
          <w:iCs/>
          <w:sz w:val="22"/>
        </w:rPr>
      </w:pPr>
      <w:r w:rsidRPr="008B5719">
        <w:rPr>
          <w:rFonts w:ascii="Times New Roman" w:eastAsia="Times New Roman" w:hAnsi="Times New Roman" w:cs="Times New Roman"/>
          <w:b/>
          <w:i/>
          <w:iCs/>
          <w:sz w:val="22"/>
        </w:rPr>
        <w:t>As Liquidating Trustee, Fiduciary or Receiver</w:t>
      </w:r>
    </w:p>
    <w:p w14:paraId="5688FD0C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/>
          <w:i/>
          <w:iCs/>
          <w:sz w:val="22"/>
        </w:rPr>
      </w:pPr>
    </w:p>
    <w:p w14:paraId="60609172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i/>
          <w:iCs/>
          <w:sz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i/>
          <w:iCs/>
          <w:sz w:val="22"/>
          <w:u w:val="single"/>
        </w:rPr>
        <w:t>Waterlink</w:t>
      </w:r>
      <w:proofErr w:type="spellEnd"/>
      <w:r w:rsidRPr="008B5719">
        <w:rPr>
          <w:rFonts w:ascii="Times New Roman" w:eastAsia="Times New Roman" w:hAnsi="Times New Roman" w:cs="Times New Roman"/>
          <w:i/>
          <w:iCs/>
          <w:sz w:val="22"/>
          <w:u w:val="single"/>
        </w:rPr>
        <w:t>, Inc.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et al</w:t>
      </w:r>
      <w:r w:rsidRPr="008B5719">
        <w:rPr>
          <w:rFonts w:ascii="Times New Roman" w:eastAsia="Times New Roman" w:hAnsi="Times New Roman" w:cs="Times New Roman"/>
          <w:bCs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Del)</w:t>
      </w:r>
    </w:p>
    <w:p w14:paraId="73B8A551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Maxjet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Airways, Inc.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Bankr.D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Del)</w:t>
      </w:r>
    </w:p>
    <w:p w14:paraId="0DAB0BA4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PM Liquidating Trust, Inc.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Del)</w:t>
      </w:r>
    </w:p>
    <w:p w14:paraId="75EA45C0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Interlake Material Handling et al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. D. Del)</w:t>
      </w:r>
    </w:p>
    <w:p w14:paraId="3782D947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re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Crossroads Wireless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Oklahoma (Western))</w:t>
      </w:r>
    </w:p>
    <w:p w14:paraId="31D63C74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PPI Holdings, Inc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>.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Del)</w:t>
      </w:r>
    </w:p>
    <w:p w14:paraId="02DA08CF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Ultimate Escapes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Del)</w:t>
      </w:r>
    </w:p>
    <w:p w14:paraId="01909870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Broadstripe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, LLC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Del)</w:t>
      </w:r>
    </w:p>
    <w:p w14:paraId="2334ACC0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Frank Parsons, Inc.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Maryland)</w:t>
      </w:r>
    </w:p>
    <w:p w14:paraId="36D404BB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Prince Sports, Inc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>.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Del)</w:t>
      </w:r>
    </w:p>
    <w:p w14:paraId="7EC64F76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Gametech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, Inc.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Del)</w:t>
      </w:r>
    </w:p>
    <w:p w14:paraId="18E35C01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Saab Cars North America, Inc.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Del)</w:t>
      </w:r>
    </w:p>
    <w:p w14:paraId="654D48D6" w14:textId="77777777" w:rsidR="00977082" w:rsidRPr="008B5719" w:rsidRDefault="00977082" w:rsidP="00977082">
      <w:pPr>
        <w:tabs>
          <w:tab w:val="left" w:pos="7530"/>
        </w:tabs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AmCad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Liquidating Trust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Del)</w:t>
      </w:r>
    </w:p>
    <w:p w14:paraId="60F0159A" w14:textId="77777777" w:rsidR="00977082" w:rsidRDefault="00977082" w:rsidP="00977082">
      <w:pPr>
        <w:tabs>
          <w:tab w:val="left" w:pos="7530"/>
        </w:tabs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SquareTwo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Financial Services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. S.D. NY)</w:t>
      </w:r>
    </w:p>
    <w:p w14:paraId="7579A94E" w14:textId="77777777" w:rsidR="00977082" w:rsidRDefault="00977082" w:rsidP="00977082">
      <w:pPr>
        <w:tabs>
          <w:tab w:val="left" w:pos="7530"/>
        </w:tabs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  <w:u w:val="single"/>
        </w:rPr>
      </w:pPr>
      <w:r w:rsidRPr="00AC2525">
        <w:rPr>
          <w:rFonts w:ascii="Times New Roman" w:eastAsia="Times New Roman" w:hAnsi="Times New Roman" w:cs="Times New Roman"/>
          <w:bCs/>
          <w:i/>
          <w:sz w:val="22"/>
          <w:u w:val="single"/>
        </w:rPr>
        <w:t>In re Hampshire Group, Limited (</w:t>
      </w:r>
      <w:proofErr w:type="spellStart"/>
      <w:r w:rsidRPr="00AC2525">
        <w:rPr>
          <w:rFonts w:ascii="Times New Roman" w:eastAsia="Times New Roman" w:hAnsi="Times New Roman" w:cs="Times New Roman"/>
          <w:bCs/>
          <w:i/>
          <w:sz w:val="22"/>
          <w:u w:val="single"/>
        </w:rPr>
        <w:t>Bankr</w:t>
      </w:r>
      <w:proofErr w:type="spellEnd"/>
      <w:r w:rsidRPr="00AC2525">
        <w:rPr>
          <w:rFonts w:ascii="Times New Roman" w:eastAsia="Times New Roman" w:hAnsi="Times New Roman" w:cs="Times New Roman"/>
          <w:bCs/>
          <w:i/>
          <w:sz w:val="22"/>
          <w:u w:val="single"/>
        </w:rPr>
        <w:t>. D. Del.)</w:t>
      </w:r>
    </w:p>
    <w:p w14:paraId="33477C4A" w14:textId="6C9CE61E" w:rsidR="00620B84" w:rsidRPr="008B5719" w:rsidRDefault="00620B84" w:rsidP="00620B84">
      <w:pPr>
        <w:tabs>
          <w:tab w:val="left" w:pos="7530"/>
        </w:tabs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spellStart"/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Zumobi</w:t>
      </w:r>
      <w:proofErr w:type="spellEnd"/>
      <w:r w:rsidRPr="00AC2525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, Inc., et al. 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. D. 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Del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)</w:t>
      </w:r>
    </w:p>
    <w:p w14:paraId="576118E9" w14:textId="093E0705" w:rsidR="00977082" w:rsidRDefault="00977082" w:rsidP="00977082">
      <w:pPr>
        <w:tabs>
          <w:tab w:val="left" w:pos="7530"/>
        </w:tabs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Superior Air Charter, LLC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. D. 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Del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)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ab/>
      </w:r>
    </w:p>
    <w:p w14:paraId="43057AFC" w14:textId="77777777" w:rsidR="00977082" w:rsidRDefault="00977082" w:rsidP="00977082">
      <w:pPr>
        <w:tabs>
          <w:tab w:val="left" w:pos="7530"/>
        </w:tabs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gramStart"/>
      <w:r w:rsidRPr="00AC2525">
        <w:rPr>
          <w:rFonts w:ascii="Times New Roman" w:eastAsia="Times New Roman" w:hAnsi="Times New Roman" w:cs="Times New Roman"/>
          <w:bCs/>
          <w:i/>
          <w:sz w:val="22"/>
          <w:u w:val="single"/>
        </w:rPr>
        <w:t>In</w:t>
      </w:r>
      <w:proofErr w:type="gramEnd"/>
      <w:r w:rsidRPr="00AC2525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re: PQ New York, Inc., et al. 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. D. 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Del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)</w:t>
      </w:r>
    </w:p>
    <w:p w14:paraId="0E7F3B79" w14:textId="49965EC7" w:rsidR="00620B84" w:rsidRDefault="00620B84" w:rsidP="00620B84">
      <w:pPr>
        <w:tabs>
          <w:tab w:val="left" w:pos="7530"/>
        </w:tabs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gramStart"/>
      <w:r w:rsidRPr="00AC2525">
        <w:rPr>
          <w:rFonts w:ascii="Times New Roman" w:eastAsia="Times New Roman" w:hAnsi="Times New Roman" w:cs="Times New Roman"/>
          <w:bCs/>
          <w:i/>
          <w:sz w:val="22"/>
          <w:u w:val="single"/>
        </w:rPr>
        <w:t>In</w:t>
      </w:r>
      <w:proofErr w:type="gramEnd"/>
      <w:r w:rsidRPr="00AC2525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re: 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Clarus Therapeutics Holdings</w:t>
      </w:r>
      <w:r w:rsidRPr="00AC2525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, Inc., et al. 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. D. 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Del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)</w:t>
      </w:r>
    </w:p>
    <w:p w14:paraId="7F983D93" w14:textId="77777777" w:rsidR="00620B84" w:rsidRDefault="00620B84" w:rsidP="00977082">
      <w:pPr>
        <w:tabs>
          <w:tab w:val="left" w:pos="7530"/>
        </w:tabs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  <w:u w:val="single"/>
        </w:rPr>
      </w:pPr>
    </w:p>
    <w:p w14:paraId="3D2DF3AF" w14:textId="77777777" w:rsidR="00620B84" w:rsidRPr="008B5719" w:rsidRDefault="00620B84" w:rsidP="00977082">
      <w:pPr>
        <w:tabs>
          <w:tab w:val="left" w:pos="7530"/>
        </w:tabs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</w:rPr>
      </w:pPr>
    </w:p>
    <w:p w14:paraId="310E906C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/>
          <w:i/>
          <w:iCs/>
          <w:sz w:val="22"/>
        </w:rPr>
      </w:pPr>
      <w:r w:rsidRPr="008B5719">
        <w:rPr>
          <w:rFonts w:ascii="Times New Roman" w:eastAsia="Times New Roman" w:hAnsi="Times New Roman" w:cs="Times New Roman"/>
          <w:b/>
          <w:i/>
          <w:iCs/>
          <w:sz w:val="22"/>
        </w:rPr>
        <w:lastRenderedPageBreak/>
        <w:t>As Financial/Restructuring Advisor</w:t>
      </w:r>
    </w:p>
    <w:p w14:paraId="16C745F8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iCs/>
          <w:sz w:val="22"/>
        </w:rPr>
      </w:pPr>
    </w:p>
    <w:p w14:paraId="75D4008D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Montgomery Ward, LLC</w:t>
      </w:r>
      <w:r w:rsidRPr="008B5719">
        <w:rPr>
          <w:rFonts w:ascii="Times New Roman" w:eastAsia="Times New Roman" w:hAnsi="Times New Roman" w:cs="Times New Roman"/>
          <w:bCs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i/>
          <w:sz w:val="22"/>
        </w:rPr>
        <w:t>, D. Del</w:t>
      </w:r>
      <w:r w:rsidRPr="008B5719">
        <w:rPr>
          <w:rFonts w:ascii="Times New Roman" w:eastAsia="Times New Roman" w:hAnsi="Times New Roman" w:cs="Times New Roman"/>
          <w:sz w:val="22"/>
        </w:rPr>
        <w:t>)</w:t>
      </w:r>
    </w:p>
    <w:p w14:paraId="612609AC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sz w:val="22"/>
        </w:rPr>
      </w:pPr>
      <w:r w:rsidRPr="008B5719">
        <w:rPr>
          <w:rFonts w:ascii="Times New Roman" w:eastAsia="Times New Roman" w:hAnsi="Times New Roman" w:cs="Times New Roman"/>
          <w:bCs/>
          <w:sz w:val="20"/>
          <w:szCs w:val="20"/>
        </w:rPr>
        <w:t>Member of Post-Confirmation Plan Administration Team</w:t>
      </w:r>
    </w:p>
    <w:p w14:paraId="0B4DED6B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Cs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Interlake Material Handling, Inc.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Del.)</w:t>
      </w:r>
    </w:p>
    <w:p w14:paraId="4799E4DB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Cs/>
          <w:sz w:val="20"/>
          <w:szCs w:val="20"/>
        </w:rPr>
        <w:t>Financial Advisor to Official Committee of Unsecured Creditors</w:t>
      </w:r>
    </w:p>
    <w:p w14:paraId="75ED8E3B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Cs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PPI Holdings, Inc.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</w:t>
      </w:r>
      <w:r w:rsidRPr="008B5719">
        <w:rPr>
          <w:rFonts w:ascii="Times New Roman" w:eastAsia="Times New Roman" w:hAnsi="Times New Roman" w:cs="Times New Roman"/>
          <w:bCs/>
          <w:sz w:val="22"/>
        </w:rPr>
        <w:t>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</w:t>
      </w:r>
      <w:r w:rsidRPr="008B5719">
        <w:rPr>
          <w:rFonts w:ascii="Times New Roman" w:eastAsia="Times New Roman" w:hAnsi="Times New Roman" w:cs="Times New Roman"/>
          <w:bCs/>
          <w:sz w:val="22"/>
        </w:rPr>
        <w:t>)</w:t>
      </w:r>
    </w:p>
    <w:p w14:paraId="3576641F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Cs/>
          <w:sz w:val="20"/>
          <w:szCs w:val="20"/>
        </w:rPr>
        <w:t>Financial Advisor to Official Committee of Unsecured Creditors</w:t>
      </w:r>
    </w:p>
    <w:p w14:paraId="19EBC850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Cs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Broadstripe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, LLC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</w:t>
      </w:r>
      <w:r w:rsidRPr="008B5719">
        <w:rPr>
          <w:rFonts w:ascii="Times New Roman" w:eastAsia="Times New Roman" w:hAnsi="Times New Roman" w:cs="Times New Roman"/>
          <w:bCs/>
          <w:sz w:val="22"/>
        </w:rPr>
        <w:t>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</w:t>
      </w:r>
      <w:r w:rsidRPr="008B5719">
        <w:rPr>
          <w:rFonts w:ascii="Times New Roman" w:eastAsia="Times New Roman" w:hAnsi="Times New Roman" w:cs="Times New Roman"/>
          <w:bCs/>
          <w:sz w:val="22"/>
        </w:rPr>
        <w:t>)</w:t>
      </w:r>
    </w:p>
    <w:p w14:paraId="057070BE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Cs/>
          <w:sz w:val="20"/>
          <w:szCs w:val="20"/>
        </w:rPr>
        <w:t>Financial Advisor to Official Committee of Unsecured Creditors</w:t>
      </w:r>
    </w:p>
    <w:p w14:paraId="45A1EE08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Cs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Vion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Pharmaceuticals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Del)</w:t>
      </w:r>
    </w:p>
    <w:p w14:paraId="70358DE8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i/>
          <w:sz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sz w:val="20"/>
          <w:szCs w:val="20"/>
        </w:rPr>
        <w:t>Financial Advisor to Official Committee of Unsecured Creditors</w:t>
      </w:r>
    </w:p>
    <w:p w14:paraId="5191F7CA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Cs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Frank Parsons Company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Maryland)</w:t>
      </w:r>
    </w:p>
    <w:p w14:paraId="67DBD99F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Cs/>
          <w:sz w:val="20"/>
          <w:szCs w:val="20"/>
        </w:rPr>
        <w:t>Financial Advisor to Official Committee of Unsecured Creditors</w:t>
      </w:r>
    </w:p>
    <w:p w14:paraId="78388F69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Cs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Prince Sports, Inc.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Del.)</w:t>
      </w:r>
    </w:p>
    <w:p w14:paraId="2CE2A981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Cs/>
          <w:sz w:val="20"/>
          <w:szCs w:val="20"/>
        </w:rPr>
        <w:t>Financial Advisor to Official Committee of Unsecured Creditors</w:t>
      </w:r>
    </w:p>
    <w:p w14:paraId="0E8D852B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Cs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GameTech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, Inc.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Del.)</w:t>
      </w:r>
    </w:p>
    <w:p w14:paraId="663A8B26" w14:textId="77777777" w:rsidR="00977082" w:rsidRPr="008B5719" w:rsidRDefault="00977082" w:rsidP="00977082">
      <w:pPr>
        <w:autoSpaceDE w:val="0"/>
        <w:autoSpaceDN w:val="0"/>
        <w:ind w:left="28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Cs/>
          <w:sz w:val="20"/>
          <w:szCs w:val="20"/>
        </w:rPr>
        <w:t>Financial Advisor to Official Committee of Unsecured Creditors</w:t>
      </w:r>
    </w:p>
    <w:p w14:paraId="6EF92A69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bCs/>
          <w:sz w:val="22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In re MFM Delaware, Inc.</w:t>
      </w:r>
      <w:r w:rsidRPr="008B5719">
        <w:rPr>
          <w:rFonts w:ascii="Times New Roman" w:eastAsia="Times New Roman" w:hAnsi="Times New Roman" w:cs="Times New Roman"/>
          <w:bCs/>
          <w:i/>
          <w:sz w:val="22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</w:rPr>
        <w:t>. D. Del.)</w:t>
      </w:r>
    </w:p>
    <w:p w14:paraId="67DCF6C7" w14:textId="77777777" w:rsidR="00977082" w:rsidRPr="008B5719" w:rsidRDefault="00977082" w:rsidP="00977082">
      <w:pPr>
        <w:autoSpaceDE w:val="0"/>
        <w:autoSpaceDN w:val="0"/>
        <w:ind w:left="216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Cs/>
          <w:sz w:val="20"/>
          <w:szCs w:val="20"/>
        </w:rPr>
        <w:t>Financial Advisor to Official Committee of Unsecured Creditors</w:t>
      </w:r>
    </w:p>
    <w:p w14:paraId="22F41B38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In re Gulf Packaging, Inc.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. N. D. Ill.)</w:t>
      </w:r>
    </w:p>
    <w:p w14:paraId="09C4EE8A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8B5719">
        <w:rPr>
          <w:rFonts w:ascii="Times New Roman" w:eastAsia="Times New Roman" w:hAnsi="Times New Roman" w:cs="Times New Roman"/>
          <w:bCs/>
          <w:sz w:val="20"/>
        </w:rPr>
        <w:t>Chief Restructuring Officer of Debtor</w:t>
      </w:r>
    </w:p>
    <w:p w14:paraId="62FFEAA3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i/>
          <w:sz w:val="21"/>
          <w:szCs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In re Sherwin Alumina, Inc.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. S. D. Texas)</w:t>
      </w:r>
    </w:p>
    <w:p w14:paraId="0ED96C80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sz w:val="20"/>
        </w:rPr>
        <w:tab/>
        <w:t>Financial Advisor to Official Committee of Unsecured Creditors</w:t>
      </w:r>
    </w:p>
    <w:p w14:paraId="46241296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B5719">
        <w:rPr>
          <w:rFonts w:ascii="Times New Roman" w:eastAsia="Times New Roman" w:hAnsi="Times New Roman" w:cs="Times New Roman"/>
          <w:bCs/>
          <w:sz w:val="22"/>
          <w:szCs w:val="22"/>
        </w:rPr>
        <w:t>Private Community Day School (Wilmington, DE)</w:t>
      </w:r>
    </w:p>
    <w:p w14:paraId="70E9E526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</w:rPr>
        <w:tab/>
      </w:r>
      <w:r w:rsidRPr="008B5719">
        <w:rPr>
          <w:rFonts w:ascii="Times New Roman" w:eastAsia="Times New Roman" w:hAnsi="Times New Roman" w:cs="Times New Roman"/>
          <w:bCs/>
          <w:sz w:val="20"/>
        </w:rPr>
        <w:t>Restructuring &amp; Turnaround Advisor to Board of Directors</w:t>
      </w:r>
    </w:p>
    <w:p w14:paraId="5808C8C8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1"/>
          <w:szCs w:val="22"/>
        </w:rPr>
      </w:pPr>
      <w:r w:rsidRPr="008B5719">
        <w:rPr>
          <w:rFonts w:ascii="Times New Roman" w:eastAsia="Times New Roman" w:hAnsi="Times New Roman" w:cs="Times New Roman"/>
          <w:bCs/>
          <w:sz w:val="22"/>
          <w:szCs w:val="22"/>
        </w:rPr>
        <w:t>Private U.S. Government Defense Contractor</w:t>
      </w:r>
    </w:p>
    <w:p w14:paraId="640B82BC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sz w:val="20"/>
        </w:rPr>
        <w:tab/>
        <w:t>Financial Advisor, Chief Restructuring Officer</w:t>
      </w:r>
    </w:p>
    <w:p w14:paraId="28A35D96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i/>
          <w:sz w:val="21"/>
          <w:szCs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In re Hampshire Group, Limited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. D. Del.)</w:t>
      </w:r>
    </w:p>
    <w:p w14:paraId="1E49FD90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sz w:val="20"/>
        </w:rPr>
        <w:tab/>
        <w:t>Financial Advisor to Official Committee of Unsecured Creditors</w:t>
      </w:r>
    </w:p>
    <w:p w14:paraId="17914E63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i/>
          <w:sz w:val="21"/>
          <w:szCs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In Limitless Mobile, LLC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. D. Del.)</w:t>
      </w:r>
    </w:p>
    <w:p w14:paraId="3C78F3F9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sz w:val="20"/>
        </w:rPr>
        <w:tab/>
        <w:t>Financial Advisor to Official Committee of Unsecured Creditors</w:t>
      </w:r>
    </w:p>
    <w:p w14:paraId="0734604B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In re Aerospace Holdings, Inc.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. D. Del)</w:t>
      </w:r>
    </w:p>
    <w:p w14:paraId="7F5EBFA2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</w:rPr>
      </w:pPr>
      <w:r w:rsidRPr="008B5719">
        <w:rPr>
          <w:rFonts w:ascii="Times New Roman" w:eastAsia="Times New Roman" w:hAnsi="Times New Roman" w:cs="Times New Roman"/>
          <w:bCs/>
        </w:rPr>
        <w:tab/>
      </w:r>
      <w:r w:rsidRPr="008B5719">
        <w:rPr>
          <w:rFonts w:ascii="Times New Roman" w:eastAsia="Times New Roman" w:hAnsi="Times New Roman" w:cs="Times New Roman"/>
          <w:bCs/>
          <w:sz w:val="20"/>
        </w:rPr>
        <w:t>Financial Advisor to Official Committee of Unsecured Creditors</w:t>
      </w:r>
    </w:p>
    <w:p w14:paraId="70EAB85D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</w:rPr>
        <w:tab/>
      </w:r>
      <w:r w:rsidRPr="008B5719">
        <w:rPr>
          <w:rFonts w:ascii="Times New Roman" w:eastAsia="Times New Roman" w:hAnsi="Times New Roman" w:cs="Times New Roman"/>
          <w:bCs/>
        </w:rPr>
        <w:tab/>
      </w:r>
      <w:r w:rsidRPr="008B5719">
        <w:rPr>
          <w:rFonts w:ascii="Times New Roman" w:eastAsia="Times New Roman" w:hAnsi="Times New Roman" w:cs="Times New Roman"/>
          <w:bCs/>
        </w:rPr>
        <w:tab/>
      </w:r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SquareTwo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 xml:space="preserve"> Financial Services Corporation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. S. D. New York)</w:t>
      </w:r>
    </w:p>
    <w:p w14:paraId="77AFB434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</w:rPr>
        <w:tab/>
      </w:r>
      <w:r w:rsidRPr="008B5719">
        <w:rPr>
          <w:rFonts w:ascii="Times New Roman" w:eastAsia="Times New Roman" w:hAnsi="Times New Roman" w:cs="Times New Roman"/>
          <w:bCs/>
        </w:rPr>
        <w:tab/>
      </w:r>
      <w:r w:rsidRPr="008B5719">
        <w:rPr>
          <w:rFonts w:ascii="Times New Roman" w:eastAsia="Times New Roman" w:hAnsi="Times New Roman" w:cs="Times New Roman"/>
          <w:bCs/>
        </w:rPr>
        <w:tab/>
      </w:r>
      <w:r w:rsidRPr="008B5719">
        <w:rPr>
          <w:rFonts w:ascii="Times New Roman" w:eastAsia="Times New Roman" w:hAnsi="Times New Roman" w:cs="Times New Roman"/>
          <w:bCs/>
        </w:rPr>
        <w:tab/>
      </w:r>
      <w:r w:rsidRPr="008B5719">
        <w:rPr>
          <w:rFonts w:ascii="Times New Roman" w:eastAsia="Times New Roman" w:hAnsi="Times New Roman" w:cs="Times New Roman"/>
          <w:bCs/>
          <w:sz w:val="20"/>
        </w:rPr>
        <w:t>Financial Advisor to Official Committee of Unsecured Creditors</w:t>
      </w:r>
    </w:p>
    <w:p w14:paraId="2AA128CD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</w:rPr>
        <w:tab/>
      </w:r>
      <w:r w:rsidRPr="008B5719">
        <w:rPr>
          <w:rFonts w:ascii="Times New Roman" w:eastAsia="Times New Roman" w:hAnsi="Times New Roman" w:cs="Times New Roman"/>
          <w:bCs/>
          <w:i/>
        </w:rPr>
        <w:tab/>
      </w:r>
      <w:r w:rsidRPr="008B5719">
        <w:rPr>
          <w:rFonts w:ascii="Times New Roman" w:eastAsia="Times New Roman" w:hAnsi="Times New Roman" w:cs="Times New Roman"/>
          <w:bCs/>
          <w:i/>
        </w:rPr>
        <w:tab/>
      </w:r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Videology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, Inc.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. D. Del)</w:t>
      </w:r>
    </w:p>
    <w:p w14:paraId="03A70855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sz w:val="20"/>
        </w:rPr>
        <w:tab/>
        <w:t>Financial Advisor to Official Committee of Unsecured Creditors</w:t>
      </w:r>
    </w:p>
    <w:p w14:paraId="39F75FC6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  <w:t>In re Consolidated Infrastructure Group LLC</w:t>
      </w:r>
    </w:p>
    <w:p w14:paraId="6221FFED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sz w:val="20"/>
        </w:rPr>
        <w:tab/>
        <w:t>Asset Sale Advisor &amp; Financial Advisor to Debtor in Possession</w:t>
      </w:r>
    </w:p>
    <w:p w14:paraId="4D640E80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  <w:t xml:space="preserve">In re 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  <w:t>Weyerbacher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  <w:t xml:space="preserve"> Brewing Company, Inc.</w:t>
      </w:r>
    </w:p>
    <w:p w14:paraId="128D1174" w14:textId="77777777" w:rsidR="00977082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i/>
          <w:iCs/>
          <w:sz w:val="20"/>
        </w:rPr>
        <w:tab/>
      </w:r>
      <w:r w:rsidRPr="008B5719">
        <w:rPr>
          <w:rFonts w:ascii="Times New Roman" w:eastAsia="Times New Roman" w:hAnsi="Times New Roman" w:cs="Times New Roman"/>
          <w:bCs/>
          <w:sz w:val="20"/>
        </w:rPr>
        <w:t>Financial Advisor to Official Committee of Unsecured Creditors</w:t>
      </w:r>
    </w:p>
    <w:p w14:paraId="48E35785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  <w:lastRenderedPageBreak/>
        <w:t>In re.</w:t>
      </w:r>
      <w:r w:rsidRPr="007608B0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Superior Air Charter, LLC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Bankr</w:t>
      </w:r>
      <w:proofErr w:type="spellEnd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. </w:t>
      </w:r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D. Del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)</w:t>
      </w:r>
    </w:p>
    <w:p w14:paraId="54A174FD" w14:textId="77777777" w:rsidR="00977082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bCs/>
          <w:sz w:val="20"/>
        </w:rPr>
        <w:t>Chief Restructuring Officer</w:t>
      </w:r>
    </w:p>
    <w:p w14:paraId="5111E86C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  <w:t>In re.</w:t>
      </w:r>
      <w:r w:rsidRPr="007608B0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Masten Space Systems, Inc.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Bankr</w:t>
      </w:r>
      <w:proofErr w:type="spellEnd"/>
      <w:r w:rsidRPr="00D66468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 xml:space="preserve"> </w:t>
      </w:r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D. Del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)</w:t>
      </w:r>
    </w:p>
    <w:p w14:paraId="370E6142" w14:textId="77777777" w:rsidR="00977082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bCs/>
          <w:sz w:val="20"/>
        </w:rPr>
        <w:t>Chief Restructuring Officer</w:t>
      </w:r>
    </w:p>
    <w:p w14:paraId="3E7D9B66" w14:textId="5E285454" w:rsidR="00620B84" w:rsidRPr="008B5719" w:rsidRDefault="00620B84" w:rsidP="00620B84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</w:pPr>
      <w:r w:rsidRPr="008B5719">
        <w:rPr>
          <w:rFonts w:ascii="Times New Roman" w:eastAsia="Times New Roman" w:hAnsi="Times New Roman" w:cs="Times New Roman"/>
          <w:bCs/>
          <w:i/>
          <w:iCs/>
          <w:sz w:val="22"/>
          <w:szCs w:val="32"/>
          <w:u w:val="single"/>
        </w:rPr>
        <w:t>In re.</w:t>
      </w:r>
      <w:r w:rsidRPr="007608B0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ESCO, Ltd., DBA Shoe City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>.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(</w:t>
      </w:r>
      <w:proofErr w:type="spellStart"/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Bankr</w:t>
      </w:r>
      <w:proofErr w:type="spellEnd"/>
      <w:r w:rsidRPr="00D66468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 xml:space="preserve"> </w:t>
      </w:r>
      <w:r w:rsidRPr="008B5719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 xml:space="preserve">D. 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Maryland</w:t>
      </w:r>
      <w:r w:rsidRPr="008B5719">
        <w:rPr>
          <w:rFonts w:ascii="Times New Roman" w:eastAsia="Times New Roman" w:hAnsi="Times New Roman" w:cs="Times New Roman"/>
          <w:bCs/>
          <w:i/>
          <w:sz w:val="22"/>
          <w:u w:val="single"/>
        </w:rPr>
        <w:t>)</w:t>
      </w:r>
    </w:p>
    <w:p w14:paraId="73BF7603" w14:textId="77777777" w:rsidR="00620B84" w:rsidRPr="008B5719" w:rsidRDefault="00620B84" w:rsidP="00620B84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Cs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bCs/>
          <w:sz w:val="20"/>
        </w:rPr>
        <w:t>Chief Restructuring Officer</w:t>
      </w:r>
    </w:p>
    <w:p w14:paraId="448F09F3" w14:textId="77777777" w:rsidR="00620B84" w:rsidRPr="008B5719" w:rsidRDefault="00620B84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</w:p>
    <w:p w14:paraId="3DB5FBA4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</w:p>
    <w:p w14:paraId="0983942E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</w:p>
    <w:p w14:paraId="17D854C6" w14:textId="77777777" w:rsidR="00977082" w:rsidRPr="008B5719" w:rsidRDefault="00977082" w:rsidP="00977082">
      <w:pPr>
        <w:autoSpaceDE w:val="0"/>
        <w:autoSpaceDN w:val="0"/>
        <w:ind w:left="1440" w:firstLine="720"/>
        <w:rPr>
          <w:rFonts w:ascii="Times New Roman" w:eastAsia="Times New Roman" w:hAnsi="Times New Roman" w:cs="Times New Roman"/>
          <w:bCs/>
          <w:sz w:val="20"/>
        </w:rPr>
      </w:pPr>
    </w:p>
    <w:p w14:paraId="6138DBE9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/>
          <w:bCs/>
        </w:rPr>
      </w:pPr>
      <w:r w:rsidRPr="008B5719">
        <w:rPr>
          <w:rFonts w:ascii="Times New Roman" w:eastAsia="Times New Roman" w:hAnsi="Times New Roman" w:cs="Times New Roman"/>
          <w:b/>
          <w:bCs/>
          <w:u w:val="single"/>
        </w:rPr>
        <w:t>PREFERENCE ANALYSIS AND ADVICE EXPERIENCE</w:t>
      </w:r>
      <w:r w:rsidRPr="008B5719">
        <w:rPr>
          <w:rFonts w:ascii="Times New Roman" w:eastAsia="Times New Roman" w:hAnsi="Times New Roman" w:cs="Times New Roman"/>
          <w:b/>
          <w:bCs/>
        </w:rPr>
        <w:t>:</w:t>
      </w:r>
    </w:p>
    <w:p w14:paraId="5D596B62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798477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Genmar</w:t>
      </w:r>
      <w:proofErr w:type="spellEnd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B57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et al</w:t>
      </w: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v. North American Composites Corporation and </w:t>
      </w:r>
      <w:proofErr w:type="spellStart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Interplastic</w:t>
      </w:r>
      <w:proofErr w:type="spellEnd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Corporation (7 cases) – for recovery of allegedly avoidable pre-petition transfers pursuant to 11 U.S.C. § 547 (Defendant’s report)</w:t>
      </w:r>
    </w:p>
    <w:p w14:paraId="32DB985B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70ADB5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National Dry Cleaners, Inc. – Damages Expert in relation to Trustee’s alleged failure to prosecute avoidance </w:t>
      </w:r>
      <w:proofErr w:type="gramStart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actions</w:t>
      </w:r>
      <w:proofErr w:type="gramEnd"/>
    </w:p>
    <w:p w14:paraId="56C4B9A4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AFA Investment Inc.</w:t>
      </w:r>
      <w:r w:rsidRPr="008B57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et al</w:t>
      </w:r>
      <w:r w:rsidRPr="008B5719">
        <w:rPr>
          <w:rFonts w:ascii="Times New Roman" w:eastAsia="Times New Roman" w:hAnsi="Times New Roman" w:cs="Times New Roman"/>
          <w:bCs/>
          <w:sz w:val="20"/>
        </w:rPr>
        <w:t xml:space="preserve"> v. Dale T. Smith Meat Packing Company - for recovery of avoidable pre-petition transfers pursuant to 11 U.S.C. </w:t>
      </w: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§ 547 (Plaintiff’s rebuttal report)</w:t>
      </w:r>
    </w:p>
    <w:p w14:paraId="5412ADF5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A860A0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RoomStore, Inc. v. Hangzhou Yi Bei Furniture LLC - for recovery of allegedly avoidance pre-petition transfers pursuant to 11 U.S.C § 547; Defendant’s expert on ordinary course of business defenses (Defendant’s report)</w:t>
      </w:r>
    </w:p>
    <w:p w14:paraId="358FC50C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873EFD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GMX Resources Creditor Trust v. Baker Hughes Oilfield Operations, Inc. - for recovery of avoidance pre-petition transfers pursuant to 11 U.S.C. § 547 (Rebuttal Report)</w:t>
      </w:r>
    </w:p>
    <w:p w14:paraId="4A8863C0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678F8B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 Winddown, LLC </w:t>
      </w:r>
      <w:r w:rsidRPr="008B57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et al</w:t>
      </w: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v. Garden City Group, LLC – for recovery of avoidable pre-petition transfers pursuant to 11 U.S.C. § 547 (Plaintiff’s rebuttal report)</w:t>
      </w:r>
    </w:p>
    <w:p w14:paraId="38FABCAF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2562B7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Samson Settlement Trust v. </w:t>
      </w:r>
      <w:proofErr w:type="spellStart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Corpro</w:t>
      </w:r>
      <w:proofErr w:type="spellEnd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, Inc. - for recovery of avoidable pre-petition transfers pursuant to 11 U.S.C. § 547 (Plaintiff’s rebuttal report)</w:t>
      </w:r>
    </w:p>
    <w:p w14:paraId="6348B17D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CDEC49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Samson Settlement Trust v. TETRA Technologies, Inc. - for recovery of avoidable pre-petition transfers pursuant to 11 U.S.C. § 547 (Plaintiff’s rebuttal report)</w:t>
      </w:r>
    </w:p>
    <w:p w14:paraId="54EEB197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1FDE79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Official Committee of Unsecured Creditors of Gregg Appliances, Inc. v. SYNNEX Corporation, d/b/a New Age Electronics - for recovery of avoidable pre-petition transfers pursuant to 11 U.S.C. § 547 (Plaintiff’s rebuttal memorandum)</w:t>
      </w:r>
    </w:p>
    <w:p w14:paraId="35A6A206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A28064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Official Committee of Unsecured Creditors of Gregg Appliances, Inc. v. Rosetta Marketing Group, LLC - for recovery of avoidable pre-petition transfers pursuant to 11 U.S.C. § 547 (Plaintiff’s rebuttal memorandum)</w:t>
      </w:r>
    </w:p>
    <w:p w14:paraId="79246FB7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DEB532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Official Committee of Unsecured Creditors of Gregg Appliances, Inc. v. Zimmerman Advertising LLC - for recovery of avoidable pre-petition transfers pursuant to 11 U.S.C. § 547 (Plaintiff’s rebuttal report)</w:t>
      </w:r>
    </w:p>
    <w:p w14:paraId="4BDA006D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4F3775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Official Committee of Unsecured Creditors of Gregg Appliances, Inc. v. Skyline Furniture Mfg., Inc. - for recovery of avoidable pre-petition transfers pursuant to 11 U.S.C. § 547 (Plaintiff’s rebuttal report)</w:t>
      </w:r>
    </w:p>
    <w:p w14:paraId="4B0F3F85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04BE1D" w14:textId="77777777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Official Committee of Unsecured Creditors of Gregg Appliances, Inc. v. </w:t>
      </w:r>
      <w:proofErr w:type="spellStart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Warrantech</w:t>
      </w:r>
      <w:proofErr w:type="spellEnd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Consumer Product Services, Inc. d/b/a </w:t>
      </w:r>
      <w:proofErr w:type="spellStart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Warrantech</w:t>
      </w:r>
      <w:proofErr w:type="spellEnd"/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CPS, Inc. - for recovery of avoidable pre-petition transfers pursuant to 11 U.S.C. § 547 (Plaintiff’s rebuttal report)</w:t>
      </w:r>
    </w:p>
    <w:p w14:paraId="07FE2E7D" w14:textId="77777777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4A1D9E" w14:textId="77777777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Official Committee of Unsecured Creditors of Gregg Appliances, Inc., vs. Rosetta Marketing Group, LLC- for recovery of avoidable pre-petition transfers pursuant to 11 U.S.C. § 547 (Review and summary of potential defenses available on behalf of Plaintiff)</w:t>
      </w:r>
    </w:p>
    <w:p w14:paraId="5F5F16AE" w14:textId="77777777" w:rsidR="00DC3495" w:rsidRDefault="00DC3495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F5FAB5" w14:textId="77777777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Official Committee of Unsecured Creditors of Gregg Appliances, Inc., vs. Skyline Furniture Mfg., Inc.- for recovery of avoidable pre-petition transfers pursuant to 11 U.S.C. § 547 (Review and summary of potential defenses available on behalf of Plaintiff)</w:t>
      </w:r>
    </w:p>
    <w:p w14:paraId="409FE85E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A2263B" w14:textId="77777777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Official Committee of Unsecured Creditors of Gregg Appliances, Inc. v. Hooker Furniture Corporation f/d/b/a Home Meridian International, Inc. - for recovery of avoidable pre-petition transfers pursuant to 11 U.S.C. § 547 (Plaintiff’s rebuttal report)</w:t>
      </w:r>
    </w:p>
    <w:p w14:paraId="54A1753B" w14:textId="77777777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1B436E" w14:textId="77777777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John B. </w:t>
      </w:r>
      <w:proofErr w:type="spellStart"/>
      <w:r w:rsidRPr="00811595">
        <w:rPr>
          <w:rFonts w:ascii="Times New Roman" w:eastAsia="Times New Roman" w:hAnsi="Times New Roman" w:cs="Times New Roman"/>
          <w:color w:val="000000"/>
          <w:sz w:val="20"/>
          <w:szCs w:val="20"/>
        </w:rPr>
        <w:t>Pidcock</w:t>
      </w:r>
      <w:proofErr w:type="spellEnd"/>
      <w:r w:rsidRPr="00811595">
        <w:rPr>
          <w:rFonts w:ascii="Times New Roman" w:eastAsia="Times New Roman" w:hAnsi="Times New Roman" w:cs="Times New Roman"/>
          <w:color w:val="000000"/>
          <w:sz w:val="20"/>
          <w:szCs w:val="20"/>
        </w:rPr>
        <w:t>, not individually but 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115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Trustee of the ASPC Creditor Trust v. Sturm Ruger &amp; Company, Inc. </w:t>
      </w: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- for recovery of avoidable pre-petition transfers pursuant to 11 U.S.C. § 547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Defendant’s</w:t>
      </w: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report)</w:t>
      </w:r>
    </w:p>
    <w:p w14:paraId="1DF6BB7D" w14:textId="77777777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836CCD" w14:textId="308968B8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Peter Kravitz, as GUC Trustee of the GUC Trust of Exide Holdings, Inc. vs. Roles Marketing International, Inc., - for recovery of avoidable pre-petition transfers pursuant to 11 U.S.C. § 547 (Review and summary of potential defenses available </w:t>
      </w:r>
      <w:r w:rsidR="00A567EB">
        <w:rPr>
          <w:rFonts w:ascii="Times New Roman" w:eastAsia="Times New Roman" w:hAnsi="Times New Roman" w:cs="Times New Roman"/>
          <w:color w:val="000000"/>
          <w:sz w:val="20"/>
          <w:szCs w:val="20"/>
        </w:rPr>
        <w:t>to Defendant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55F1A566" w14:textId="77777777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632B59" w14:textId="1C278AAA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Peter Kravitz, as GUC Trustee of the GUC Trust of Exide Holdings, Inc., vs. Resources Alloys and Metals, Inc., - for recovery of avoidable pre-petition transfers pursuant to 11 U.S.C. § 547 (Review and summary of potential defenses available </w:t>
      </w:r>
      <w:r w:rsidR="00A567EB">
        <w:rPr>
          <w:rFonts w:ascii="Times New Roman" w:eastAsia="Times New Roman" w:hAnsi="Times New Roman" w:cs="Times New Roman"/>
          <w:color w:val="000000"/>
          <w:sz w:val="20"/>
          <w:szCs w:val="20"/>
        </w:rPr>
        <w:t>to Defendant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2182C163" w14:textId="77777777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41B474" w14:textId="68F09008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Peter Kravitz, as GUC Trustee of the GUC Trust of Exide Holdings, Inc., Plaintiff, vs. P.A.M. Transport, Inc. - for recovery of avoidable pre-petition transfers pursuant to 11 U.S.C. § 547 (Review and summary of potential defenses available </w:t>
      </w:r>
      <w:r w:rsidR="00A567EB">
        <w:rPr>
          <w:rFonts w:ascii="Times New Roman" w:eastAsia="Times New Roman" w:hAnsi="Times New Roman" w:cs="Times New Roman"/>
          <w:color w:val="000000"/>
          <w:sz w:val="20"/>
          <w:szCs w:val="20"/>
        </w:rPr>
        <w:t>to Defendant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63B49689" w14:textId="77777777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000227" w14:textId="74C6D6D9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Peter Kravitz, as GUC Trustee of the GUC Trust of Exide Holdings, Inc., vs. Oak Press Solutions Inc. - for recovery of avoidable pre-petition transfers pursuant to 11 U.S.C. § 547 (Review and summary of potential defenses available </w:t>
      </w:r>
      <w:r w:rsidR="00A567EB">
        <w:rPr>
          <w:rFonts w:ascii="Times New Roman" w:eastAsia="Times New Roman" w:hAnsi="Times New Roman" w:cs="Times New Roman"/>
          <w:color w:val="000000"/>
          <w:sz w:val="20"/>
          <w:szCs w:val="20"/>
        </w:rPr>
        <w:t>to Defendant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55F59B9" w14:textId="77777777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01F9F4" w14:textId="61800CE1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Insys</w:t>
      </w:r>
      <w:proofErr w:type="spellEnd"/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Liquidation Trust, by and through William Hendrich, as Liquidating Trustee, vs. Renaissance SSP Holdings, Inc. - for recovery of avoidable pre-petition transfers pursuant to 11 U.S.C. § 547 (Review and summary of potential defenses available </w:t>
      </w:r>
      <w:r w:rsidR="00A567EB">
        <w:rPr>
          <w:rFonts w:ascii="Times New Roman" w:eastAsia="Times New Roman" w:hAnsi="Times New Roman" w:cs="Times New Roman"/>
          <w:color w:val="000000"/>
          <w:sz w:val="20"/>
          <w:szCs w:val="20"/>
        </w:rPr>
        <w:t>to Defendant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4DEE745" w14:textId="77777777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5B35E8" w14:textId="7015ABA2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 Liquidating Trust, vs. </w:t>
      </w:r>
      <w:proofErr w:type="spellStart"/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VaxServe</w:t>
      </w:r>
      <w:proofErr w:type="spellEnd"/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Inc. - for recovery of avoidable pre-petition transfers pursuant to 11 U.S.C. § 547 (Review and summary of potential defenses available </w:t>
      </w:r>
      <w:r w:rsidR="00A567EB">
        <w:rPr>
          <w:rFonts w:ascii="Times New Roman" w:eastAsia="Times New Roman" w:hAnsi="Times New Roman" w:cs="Times New Roman"/>
          <w:color w:val="000000"/>
          <w:sz w:val="20"/>
          <w:szCs w:val="20"/>
        </w:rPr>
        <w:t>to Defendant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42FD83B" w14:textId="77777777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8705D6" w14:textId="11AE8391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Fred’s, Inc.,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et al.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vs.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SMS Assist, L.L.C.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for recovery of avoidable pre-petition transfers pursuant to 11 U.S.C. § 547 (Review and summary of potential defenses available </w:t>
      </w:r>
      <w:r w:rsidR="00A567EB">
        <w:rPr>
          <w:rFonts w:ascii="Times New Roman" w:eastAsia="Times New Roman" w:hAnsi="Times New Roman" w:cs="Times New Roman"/>
          <w:color w:val="000000"/>
          <w:sz w:val="20"/>
          <w:szCs w:val="20"/>
        </w:rPr>
        <w:t>to Defendant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8F79145" w14:textId="77777777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8CFC8D" w14:textId="0BC676C3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Finco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LP,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United Healthcare Insurance Company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for recovery of avoidable pre-petition transfers pursuant to 11 U.S.C. § 547 (Review and summary of potential defenses available </w:t>
      </w:r>
      <w:r w:rsidR="00A567EB">
        <w:rPr>
          <w:rFonts w:ascii="Times New Roman" w:eastAsia="Times New Roman" w:hAnsi="Times New Roman" w:cs="Times New Roman"/>
          <w:color w:val="000000"/>
          <w:sz w:val="20"/>
          <w:szCs w:val="20"/>
        </w:rPr>
        <w:t>to Defendant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3994494" w14:textId="77777777" w:rsidR="00FB074C" w:rsidRDefault="00FB074C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E77ECF" w14:textId="2E3E3352" w:rsidR="00FB074C" w:rsidRDefault="00FB074C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07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Advisory Trust Group, LLC, in its capacity as the Trustee of the RDC Liquidating Trust v. (1) Bristol-Myers Squibb Company, (2) Celgene Corporation, and (3) </w:t>
      </w:r>
      <w:proofErr w:type="spellStart"/>
      <w:r w:rsidRPr="00FB074C">
        <w:rPr>
          <w:rFonts w:ascii="Times New Roman" w:eastAsia="Times New Roman" w:hAnsi="Times New Roman" w:cs="Times New Roman"/>
          <w:color w:val="000000"/>
          <w:sz w:val="20"/>
          <w:szCs w:val="20"/>
        </w:rPr>
        <w:t>Abraxis</w:t>
      </w:r>
      <w:proofErr w:type="spellEnd"/>
      <w:r w:rsidRPr="00FB07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Bioscience, Inc.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(Review and summary of potential defenses available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Defendant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3B21C447" w14:textId="77777777" w:rsidR="00FB074C" w:rsidRDefault="00FB074C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6B7A66" w14:textId="645DB2B6" w:rsidR="00FB074C" w:rsidRDefault="00FB074C" w:rsidP="00FB074C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07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Advisory Trust Group, LLC, in its capacity as the Trustee of the RDC Liquidating Trust v. </w:t>
      </w:r>
      <w:r>
        <w:rPr>
          <w:rFonts w:ascii="Times New Roman" w:hAnsi="Times New Roman"/>
          <w:sz w:val="22"/>
          <w:szCs w:val="22"/>
        </w:rPr>
        <w:t>Sanofi US Corporation; Sanofi-Aventis U.S. L.L.C.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(Review and summary of potential defenses available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Defendant</w:t>
      </w:r>
      <w:r w:rsidRPr="00047B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1D29358" w14:textId="77777777" w:rsidR="00FB074C" w:rsidRDefault="00FB074C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C18A0F" w14:textId="77777777" w:rsidR="00977082" w:rsidRPr="00047B2A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DA3D50" w14:textId="77777777" w:rsidR="00977082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6EF40F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95E706" w14:textId="77777777" w:rsidR="00977082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TESTIMONY &amp; EXPERT</w:t>
      </w:r>
      <w:r w:rsidRPr="008B5719">
        <w:rPr>
          <w:rFonts w:ascii="Times New Roman" w:eastAsia="Times New Roman" w:hAnsi="Times New Roman" w:cs="Times New Roman"/>
          <w:b/>
          <w:bCs/>
          <w:u w:val="single"/>
        </w:rPr>
        <w:t xml:space="preserve"> EXPERIENCE</w:t>
      </w:r>
      <w:r w:rsidRPr="008B5719">
        <w:rPr>
          <w:rFonts w:ascii="Times New Roman" w:eastAsia="Times New Roman" w:hAnsi="Times New Roman" w:cs="Times New Roman"/>
          <w:b/>
          <w:bCs/>
        </w:rPr>
        <w:t>:</w:t>
      </w:r>
    </w:p>
    <w:p w14:paraId="15CCA986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/>
          <w:bCs/>
        </w:rPr>
      </w:pPr>
    </w:p>
    <w:p w14:paraId="67903313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2642">
        <w:rPr>
          <w:rFonts w:ascii="Times New Roman" w:eastAsia="Times New Roman" w:hAnsi="Times New Roman" w:cs="Times New Roman"/>
          <w:color w:val="000000"/>
          <w:sz w:val="20"/>
          <w:szCs w:val="20"/>
        </w:rPr>
        <w:t>Drivetrain, LLC, as Litigation Trustee of the Adeptus Litigation Trust, vs. Dell Marketing, L.P.</w:t>
      </w: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for recovery of avoidable pre-petition transfers pursuant to 11 U.S.C. § 547 (Plaintiff’s rebuttal report)</w:t>
      </w:r>
    </w:p>
    <w:p w14:paraId="22043EFD" w14:textId="77777777" w:rsidR="00977082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F136A5" w14:textId="77777777" w:rsidR="00977082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17D4">
        <w:rPr>
          <w:rFonts w:ascii="Times New Roman" w:eastAsia="Times New Roman" w:hAnsi="Times New Roman" w:cs="Times New Roman"/>
          <w:color w:val="000000"/>
          <w:sz w:val="20"/>
          <w:szCs w:val="20"/>
        </w:rPr>
        <w:t>The Official Committee of Unsecured Creditors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17D4">
        <w:rPr>
          <w:rFonts w:ascii="Times New Roman" w:eastAsia="Times New Roman" w:hAnsi="Times New Roman" w:cs="Times New Roman"/>
          <w:color w:val="000000"/>
          <w:sz w:val="20"/>
          <w:szCs w:val="20"/>
        </w:rPr>
        <w:t>of Gregg Appliances, Inc., vs. Andretti Autosport 2, Inc.</w:t>
      </w: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for recovery of avoidable pre-petition transfers pursuant to 11 U.S.C. § 547 (Plaintiff’s rebuttal report)</w:t>
      </w:r>
    </w:p>
    <w:p w14:paraId="1BCA1D67" w14:textId="77777777" w:rsidR="00977082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D6BA81" w14:textId="77777777" w:rsidR="00977082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FD5">
        <w:rPr>
          <w:rFonts w:ascii="Times New Roman" w:eastAsia="Times New Roman" w:hAnsi="Times New Roman" w:cs="Times New Roman"/>
          <w:color w:val="000000"/>
          <w:sz w:val="20"/>
          <w:szCs w:val="20"/>
        </w:rPr>
        <w:t>Sears, Roebuck and Co. and Kmart Holding Corporation, vs. Cleva Hong Kong Ltd.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- for recovery of avoidable pre-petition transfers pursuant to 11 U.S.C. § 547 (Plaintiff’s rebuttal report)</w:t>
      </w:r>
    </w:p>
    <w:p w14:paraId="6A23D4C0" w14:textId="77777777" w:rsidR="00677745" w:rsidRDefault="00677745" w:rsidP="00977082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727D51" w14:textId="2CB60B8B" w:rsidR="00197E6F" w:rsidRDefault="00677745" w:rsidP="00197E6F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Verity </w:t>
      </w:r>
      <w:r w:rsidR="00197E6F">
        <w:rPr>
          <w:rFonts w:ascii="Times New Roman" w:eastAsia="Times New Roman" w:hAnsi="Times New Roman" w:cs="Times New Roman"/>
          <w:color w:val="00000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System of California, Inc.,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et al.,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vs. </w:t>
      </w:r>
      <w:r w:rsidR="00197E6F">
        <w:rPr>
          <w:rFonts w:ascii="Times New Roman" w:eastAsia="Times New Roman" w:hAnsi="Times New Roman" w:cs="Times New Roman"/>
          <w:color w:val="000000"/>
          <w:sz w:val="20"/>
          <w:szCs w:val="20"/>
        </w:rPr>
        <w:t>Cardinal Health</w:t>
      </w:r>
      <w:r w:rsidR="00523A73">
        <w:rPr>
          <w:rFonts w:ascii="Times New Roman" w:eastAsia="Times New Roman" w:hAnsi="Times New Roman" w:cs="Times New Roman"/>
          <w:color w:val="000000"/>
          <w:sz w:val="20"/>
          <w:szCs w:val="20"/>
        </w:rPr>
        <w:t>, Inc.</w:t>
      </w:r>
      <w:r w:rsidR="00197E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197E6F"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for recovery of avoidable pre-petition transfers pursuant to 11 U.S.C. § 547</w:t>
      </w:r>
      <w:r w:rsidR="00197E6F">
        <w:rPr>
          <w:rFonts w:ascii="Times New Roman" w:eastAsia="Times New Roman" w:hAnsi="Times New Roman" w:cs="Times New Roman"/>
          <w:color w:val="000000"/>
          <w:sz w:val="20"/>
          <w:szCs w:val="20"/>
        </w:rPr>
        <w:t>, 549, and 550</w:t>
      </w:r>
      <w:r w:rsidR="00197E6F"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(Plaintiff’s rebuttal report)</w:t>
      </w:r>
    </w:p>
    <w:p w14:paraId="1D1FC26B" w14:textId="503E879B" w:rsidR="00677745" w:rsidRPr="00677745" w:rsidRDefault="00677745" w:rsidP="00977082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A22F92" w14:textId="77777777" w:rsidR="00197E6F" w:rsidRDefault="00197E6F" w:rsidP="00197E6F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Verity Health System of California, Inc.,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et al.,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vs. Cardinal Health Pharmacy Service, LLC - </w:t>
      </w: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>for recovery of avoidable pre-petition transfers pursuant to 11 U.S.C. § 547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549, and 550</w:t>
      </w:r>
      <w:r w:rsidRPr="008B5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(Plaintiff’s rebuttal report)</w:t>
      </w:r>
    </w:p>
    <w:p w14:paraId="4FBDC8A5" w14:textId="77777777" w:rsidR="00977082" w:rsidRPr="00CF4FD5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C73D5B" w14:textId="77777777" w:rsidR="00977082" w:rsidRPr="004F17D4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89969C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/>
          <w:bCs/>
          <w:u w:val="single"/>
        </w:rPr>
        <w:t>PROFESSIONAL</w:t>
      </w:r>
      <w:r w:rsidRPr="008B5719">
        <w:rPr>
          <w:rFonts w:ascii="Times New Roman" w:eastAsia="Times New Roman" w:hAnsi="Times New Roman" w:cs="Times New Roman"/>
          <w:b/>
          <w:bCs/>
        </w:rPr>
        <w:t>:</w:t>
      </w:r>
      <w:r w:rsidRPr="008B57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4563D49C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E03AEB" w14:textId="77777777" w:rsidR="00977082" w:rsidRPr="008B5719" w:rsidRDefault="00977082" w:rsidP="00977082">
      <w:pPr>
        <w:autoSpaceDE w:val="0"/>
        <w:autoSpaceDN w:val="0"/>
        <w:ind w:firstLine="720"/>
        <w:rPr>
          <w:rFonts w:ascii="Times New Roman" w:eastAsia="Times New Roman" w:hAnsi="Times New Roman" w:cs="Times New Roman"/>
          <w:b/>
          <w:bCs/>
          <w:sz w:val="22"/>
        </w:rPr>
      </w:pPr>
      <w:r w:rsidRPr="008B5719">
        <w:rPr>
          <w:rFonts w:ascii="Times New Roman" w:eastAsia="Times New Roman" w:hAnsi="Times New Roman" w:cs="Times New Roman"/>
          <w:b/>
          <w:bCs/>
          <w:sz w:val="22"/>
          <w:u w:val="single"/>
        </w:rPr>
        <w:t>Organizational Affiliations</w:t>
      </w:r>
    </w:p>
    <w:p w14:paraId="3240FF78" w14:textId="77777777" w:rsidR="00977082" w:rsidRPr="008B5719" w:rsidRDefault="00977082" w:rsidP="00977082">
      <w:pPr>
        <w:autoSpaceDE w:val="0"/>
        <w:autoSpaceDN w:val="0"/>
        <w:ind w:right="-720"/>
        <w:rPr>
          <w:rFonts w:ascii="Times New Roman" w:eastAsia="Times New Roman" w:hAnsi="Times New Roman" w:cs="Times New Roman"/>
          <w:smallCaps/>
          <w:sz w:val="22"/>
        </w:rPr>
      </w:pPr>
      <w:r w:rsidRPr="008B5719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8B5719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8B5719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8B5719">
        <w:rPr>
          <w:rFonts w:ascii="Times New Roman" w:eastAsia="Times New Roman" w:hAnsi="Times New Roman" w:cs="Times New Roman"/>
          <w:smallCaps/>
          <w:sz w:val="22"/>
        </w:rPr>
        <w:t>Turnaround Management Association</w:t>
      </w:r>
    </w:p>
    <w:p w14:paraId="02957DFB" w14:textId="77777777" w:rsidR="00977082" w:rsidRDefault="00977082" w:rsidP="00977082">
      <w:pPr>
        <w:autoSpaceDE w:val="0"/>
        <w:autoSpaceDN w:val="0"/>
        <w:ind w:left="1440" w:right="-720" w:firstLine="720"/>
        <w:rPr>
          <w:rFonts w:ascii="Times New Roman" w:eastAsia="Times New Roman" w:hAnsi="Times New Roman" w:cs="Times New Roman"/>
          <w:smallCaps/>
          <w:sz w:val="22"/>
        </w:rPr>
      </w:pPr>
      <w:r w:rsidRPr="008B5719">
        <w:rPr>
          <w:rFonts w:ascii="Times New Roman" w:eastAsia="Times New Roman" w:hAnsi="Times New Roman" w:cs="Times New Roman"/>
          <w:smallCaps/>
          <w:sz w:val="22"/>
        </w:rPr>
        <w:tab/>
      </w:r>
      <w:r w:rsidRPr="00A34441">
        <w:rPr>
          <w:rFonts w:ascii="Times New Roman" w:eastAsia="Times New Roman" w:hAnsi="Times New Roman" w:cs="Times New Roman"/>
          <w:smallCaps/>
          <w:sz w:val="22"/>
        </w:rPr>
        <w:t>TMA Mid-Atlantic Symposium Committee</w:t>
      </w:r>
      <w:r>
        <w:rPr>
          <w:rFonts w:ascii="Times New Roman" w:eastAsia="Times New Roman" w:hAnsi="Times New Roman" w:cs="Times New Roman"/>
          <w:smallCaps/>
          <w:sz w:val="22"/>
        </w:rPr>
        <w:t xml:space="preserve"> – Marketing Chair (2023)</w:t>
      </w:r>
    </w:p>
    <w:p w14:paraId="3C0EC26D" w14:textId="77777777" w:rsidR="00977082" w:rsidRDefault="00977082" w:rsidP="00977082">
      <w:pPr>
        <w:autoSpaceDE w:val="0"/>
        <w:autoSpaceDN w:val="0"/>
        <w:ind w:left="2160" w:right="-720" w:firstLine="720"/>
        <w:rPr>
          <w:rFonts w:ascii="Times New Roman" w:eastAsia="Times New Roman" w:hAnsi="Times New Roman" w:cs="Times New Roman"/>
          <w:smallCaps/>
          <w:sz w:val="22"/>
        </w:rPr>
      </w:pPr>
      <w:r w:rsidRPr="008B5719">
        <w:rPr>
          <w:rFonts w:ascii="Times New Roman" w:eastAsia="Times New Roman" w:hAnsi="Times New Roman" w:cs="Times New Roman"/>
          <w:smallCaps/>
          <w:sz w:val="22"/>
        </w:rPr>
        <w:t>Philadelphia Wilmington</w:t>
      </w:r>
      <w:r>
        <w:rPr>
          <w:rFonts w:ascii="Times New Roman" w:eastAsia="Times New Roman" w:hAnsi="Times New Roman" w:cs="Times New Roman"/>
          <w:smallCaps/>
          <w:sz w:val="22"/>
        </w:rPr>
        <w:t xml:space="preserve"> Board Officer (2023)</w:t>
      </w:r>
    </w:p>
    <w:p w14:paraId="1D45AAF1" w14:textId="77777777" w:rsidR="00977082" w:rsidRPr="008B5719" w:rsidRDefault="00977082" w:rsidP="00977082">
      <w:pPr>
        <w:autoSpaceDE w:val="0"/>
        <w:autoSpaceDN w:val="0"/>
        <w:ind w:left="2160" w:right="-720" w:firstLine="720"/>
        <w:rPr>
          <w:rFonts w:ascii="Times New Roman" w:eastAsia="Times New Roman" w:hAnsi="Times New Roman" w:cs="Times New Roman"/>
          <w:smallCaps/>
          <w:sz w:val="22"/>
        </w:rPr>
      </w:pPr>
      <w:r w:rsidRPr="008B5719">
        <w:rPr>
          <w:rFonts w:ascii="Times New Roman" w:eastAsia="Times New Roman" w:hAnsi="Times New Roman" w:cs="Times New Roman"/>
          <w:smallCaps/>
          <w:sz w:val="22"/>
        </w:rPr>
        <w:t>Philadelphia Wilmington NextGen advisory committee (2016-</w:t>
      </w:r>
      <w:r>
        <w:rPr>
          <w:rFonts w:ascii="Times New Roman" w:eastAsia="Times New Roman" w:hAnsi="Times New Roman" w:cs="Times New Roman"/>
          <w:smallCaps/>
          <w:sz w:val="22"/>
        </w:rPr>
        <w:t>2020</w:t>
      </w:r>
      <w:r w:rsidRPr="008B5719">
        <w:rPr>
          <w:rFonts w:ascii="Times New Roman" w:eastAsia="Times New Roman" w:hAnsi="Times New Roman" w:cs="Times New Roman"/>
          <w:smallCaps/>
          <w:sz w:val="22"/>
        </w:rPr>
        <w:t>)</w:t>
      </w:r>
    </w:p>
    <w:p w14:paraId="14BB93C7" w14:textId="77777777" w:rsidR="00977082" w:rsidRPr="008B5719" w:rsidRDefault="00977082" w:rsidP="00977082">
      <w:pPr>
        <w:autoSpaceDE w:val="0"/>
        <w:autoSpaceDN w:val="0"/>
        <w:ind w:left="1440" w:right="-720" w:firstLine="720"/>
        <w:rPr>
          <w:rFonts w:ascii="Times New Roman" w:eastAsia="Times New Roman" w:hAnsi="Times New Roman" w:cs="Times New Roman"/>
          <w:smallCaps/>
          <w:sz w:val="22"/>
        </w:rPr>
      </w:pPr>
      <w:r w:rsidRPr="008B5719">
        <w:rPr>
          <w:rFonts w:ascii="Times New Roman" w:eastAsia="Times New Roman" w:hAnsi="Times New Roman" w:cs="Times New Roman"/>
          <w:smallCaps/>
          <w:sz w:val="22"/>
        </w:rPr>
        <w:tab/>
        <w:t>NextGen Global Conferences Committee Cochair (2018-</w:t>
      </w:r>
      <w:r>
        <w:rPr>
          <w:rFonts w:ascii="Times New Roman" w:eastAsia="Times New Roman" w:hAnsi="Times New Roman" w:cs="Times New Roman"/>
          <w:smallCaps/>
          <w:sz w:val="22"/>
        </w:rPr>
        <w:t>2020</w:t>
      </w:r>
      <w:r w:rsidRPr="008B5719">
        <w:rPr>
          <w:rFonts w:ascii="Times New Roman" w:eastAsia="Times New Roman" w:hAnsi="Times New Roman" w:cs="Times New Roman"/>
          <w:smallCaps/>
          <w:sz w:val="22"/>
        </w:rPr>
        <w:t>)</w:t>
      </w:r>
    </w:p>
    <w:p w14:paraId="7B2103EB" w14:textId="77777777" w:rsidR="00977082" w:rsidRPr="008B5719" w:rsidRDefault="00977082" w:rsidP="00977082">
      <w:pPr>
        <w:autoSpaceDE w:val="0"/>
        <w:autoSpaceDN w:val="0"/>
        <w:ind w:right="-720"/>
        <w:rPr>
          <w:rFonts w:ascii="Times New Roman" w:eastAsia="Times New Roman" w:hAnsi="Times New Roman" w:cs="Times New Roman"/>
          <w:smallCaps/>
          <w:sz w:val="22"/>
        </w:rPr>
      </w:pPr>
    </w:p>
    <w:p w14:paraId="3CA04B47" w14:textId="77777777" w:rsidR="00977082" w:rsidRPr="008B5719" w:rsidRDefault="00977082" w:rsidP="00977082">
      <w:pPr>
        <w:autoSpaceDE w:val="0"/>
        <w:autoSpaceDN w:val="0"/>
        <w:ind w:left="1440" w:right="-720" w:firstLine="720"/>
        <w:rPr>
          <w:rFonts w:ascii="Times New Roman" w:eastAsia="Times New Roman" w:hAnsi="Times New Roman" w:cs="Times New Roman"/>
          <w:smallCaps/>
          <w:sz w:val="22"/>
        </w:rPr>
      </w:pPr>
      <w:r w:rsidRPr="008B5719">
        <w:rPr>
          <w:rFonts w:ascii="Times New Roman" w:eastAsia="Times New Roman" w:hAnsi="Times New Roman" w:cs="Times New Roman"/>
          <w:smallCaps/>
          <w:sz w:val="22"/>
        </w:rPr>
        <w:lastRenderedPageBreak/>
        <w:t>American Bankruptcy Institute</w:t>
      </w:r>
    </w:p>
    <w:p w14:paraId="6C74B4D6" w14:textId="77777777" w:rsidR="00977082" w:rsidRPr="008B5719" w:rsidRDefault="00977082" w:rsidP="00977082">
      <w:pPr>
        <w:autoSpaceDE w:val="0"/>
        <w:autoSpaceDN w:val="0"/>
        <w:ind w:left="2160" w:right="-720" w:firstLine="720"/>
        <w:rPr>
          <w:rFonts w:ascii="Times New Roman" w:eastAsia="Times New Roman" w:hAnsi="Times New Roman" w:cs="Times New Roman"/>
          <w:smallCaps/>
          <w:sz w:val="22"/>
        </w:rPr>
      </w:pPr>
      <w:r w:rsidRPr="008B5719">
        <w:rPr>
          <w:rFonts w:ascii="Times New Roman" w:eastAsia="Times New Roman" w:hAnsi="Times New Roman" w:cs="Times New Roman"/>
          <w:smallCaps/>
          <w:sz w:val="22"/>
        </w:rPr>
        <w:t>Mid-Atlantic Bankruptcy Workshop Advisory Board (2016-</w:t>
      </w:r>
      <w:r>
        <w:rPr>
          <w:rFonts w:ascii="Times New Roman" w:eastAsia="Times New Roman" w:hAnsi="Times New Roman" w:cs="Times New Roman"/>
          <w:smallCaps/>
          <w:sz w:val="22"/>
        </w:rPr>
        <w:t>2019</w:t>
      </w:r>
      <w:r w:rsidRPr="008B5719">
        <w:rPr>
          <w:rFonts w:ascii="Times New Roman" w:eastAsia="Times New Roman" w:hAnsi="Times New Roman" w:cs="Times New Roman"/>
          <w:smallCaps/>
          <w:sz w:val="22"/>
        </w:rPr>
        <w:t>)</w:t>
      </w:r>
    </w:p>
    <w:p w14:paraId="544A71F9" w14:textId="77777777" w:rsidR="00977082" w:rsidRPr="008B5719" w:rsidRDefault="00977082" w:rsidP="00977082">
      <w:pPr>
        <w:autoSpaceDE w:val="0"/>
        <w:autoSpaceDN w:val="0"/>
        <w:ind w:right="-720"/>
        <w:rPr>
          <w:rFonts w:ascii="Times New Roman" w:eastAsia="Times New Roman" w:hAnsi="Times New Roman" w:cs="Times New Roman"/>
          <w:smallCaps/>
          <w:sz w:val="22"/>
        </w:rPr>
      </w:pPr>
    </w:p>
    <w:p w14:paraId="47033D97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25EA56B" w14:textId="77777777" w:rsidR="00977082" w:rsidRPr="008B5719" w:rsidRDefault="00977082" w:rsidP="00977082">
      <w:pPr>
        <w:keepNext/>
        <w:autoSpaceDE w:val="0"/>
        <w:autoSpaceDN w:val="0"/>
        <w:ind w:right="-720"/>
        <w:outlineLvl w:val="8"/>
        <w:rPr>
          <w:rFonts w:ascii="Times New Roman" w:eastAsia="Times New Roman" w:hAnsi="Times New Roman" w:cs="Times New Roman"/>
          <w:b/>
          <w:bCs/>
          <w:caps/>
          <w:sz w:val="22"/>
          <w:szCs w:val="22"/>
          <w:u w:val="single"/>
        </w:rPr>
      </w:pPr>
      <w:r w:rsidRPr="008B5719">
        <w:rPr>
          <w:rFonts w:ascii="Times New Roman" w:eastAsia="Times New Roman" w:hAnsi="Times New Roman" w:cs="Times New Roman"/>
          <w:b/>
          <w:bCs/>
          <w:caps/>
          <w:sz w:val="22"/>
          <w:szCs w:val="22"/>
          <w:u w:val="single"/>
        </w:rPr>
        <w:t>Authorships &amp; Published Works</w:t>
      </w:r>
    </w:p>
    <w:p w14:paraId="63FCD25C" w14:textId="77777777" w:rsidR="00977082" w:rsidRPr="008B5719" w:rsidRDefault="00977082" w:rsidP="00977082">
      <w:pPr>
        <w:autoSpaceDE w:val="0"/>
        <w:autoSpaceDN w:val="0"/>
        <w:ind w:left="2160"/>
        <w:rPr>
          <w:rFonts w:ascii="Times New Roman" w:eastAsia="Times New Roman" w:hAnsi="Times New Roman" w:cs="Times New Roman"/>
          <w:sz w:val="18"/>
          <w:szCs w:val="20"/>
        </w:rPr>
      </w:pPr>
    </w:p>
    <w:p w14:paraId="751F011D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17AB2BE" w14:textId="77777777" w:rsidR="00977082" w:rsidRPr="008B5719" w:rsidRDefault="00977082" w:rsidP="00977082">
      <w:pPr>
        <w:autoSpaceDE w:val="0"/>
        <w:autoSpaceDN w:val="0"/>
        <w:ind w:left="72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8B5719">
        <w:rPr>
          <w:rFonts w:ascii="Times New Roman" w:eastAsia="Times New Roman" w:hAnsi="Times New Roman" w:cs="Times New Roman"/>
          <w:b/>
          <w:sz w:val="20"/>
          <w:szCs w:val="20"/>
        </w:rPr>
        <w:t>One Athlete’s Personal Bankruptcy Illustrates How the Process Works</w:t>
      </w:r>
      <w:r w:rsidRPr="008B5719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14:paraId="1B27EA95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B571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American Bankruptcy Institute Journal</w:t>
      </w:r>
      <w:r w:rsidRPr="008B571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8B5719">
        <w:rPr>
          <w:rFonts w:ascii="Times New Roman" w:eastAsia="Times New Roman" w:hAnsi="Times New Roman" w:cs="Times New Roman"/>
          <w:sz w:val="20"/>
          <w:szCs w:val="20"/>
        </w:rPr>
        <w:t>December 2018</w:t>
      </w:r>
    </w:p>
    <w:p w14:paraId="655F1B83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CAF5213" w14:textId="77777777" w:rsidR="00977082" w:rsidRPr="008B5719" w:rsidRDefault="00977082" w:rsidP="00977082">
      <w:pPr>
        <w:autoSpaceDE w:val="0"/>
        <w:autoSpaceDN w:val="0"/>
        <w:ind w:left="72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8B5719">
        <w:rPr>
          <w:rFonts w:ascii="Times New Roman" w:eastAsia="Times New Roman" w:hAnsi="Times New Roman" w:cs="Times New Roman"/>
          <w:b/>
          <w:sz w:val="20"/>
          <w:szCs w:val="20"/>
        </w:rPr>
        <w:t>The Electoral College: Appendicitis of American Democracy</w:t>
      </w:r>
      <w:r w:rsidRPr="008B5719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14:paraId="3CEC6271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B571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Nova Law Review</w:t>
      </w:r>
      <w:r w:rsidRPr="008B571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8B5719">
        <w:rPr>
          <w:rFonts w:ascii="Times New Roman" w:eastAsia="Times New Roman" w:hAnsi="Times New Roman" w:cs="Times New Roman"/>
          <w:sz w:val="20"/>
          <w:szCs w:val="20"/>
        </w:rPr>
        <w:t>Volume 43, Issue 2019</w:t>
      </w:r>
    </w:p>
    <w:p w14:paraId="53896416" w14:textId="77777777" w:rsidR="00977082" w:rsidRPr="008B5719" w:rsidRDefault="00977082" w:rsidP="00977082">
      <w:pPr>
        <w:autoSpaceDE w:val="0"/>
        <w:autoSpaceDN w:val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sz w:val="20"/>
          <w:szCs w:val="20"/>
        </w:rPr>
        <w:tab/>
        <w:t>Data Analysis and Preparation of Appendix for authors M. W. Berger &amp; Z. Hyman</w:t>
      </w:r>
    </w:p>
    <w:p w14:paraId="58D1946E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Cs/>
          <w:u w:val="single"/>
        </w:rPr>
      </w:pPr>
    </w:p>
    <w:p w14:paraId="7B382423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/>
          <w:bCs/>
          <w:u w:val="single"/>
        </w:rPr>
      </w:pPr>
    </w:p>
    <w:p w14:paraId="33CF4D4C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b/>
          <w:bCs/>
          <w:u w:val="single"/>
        </w:rPr>
        <w:t>EDUCATION</w:t>
      </w:r>
      <w:r w:rsidRPr="008B5719">
        <w:rPr>
          <w:rFonts w:ascii="Times New Roman" w:eastAsia="Times New Roman" w:hAnsi="Times New Roman" w:cs="Times New Roman"/>
          <w:b/>
          <w:bCs/>
        </w:rPr>
        <w:t>:</w:t>
      </w:r>
      <w:r w:rsidRPr="008B57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2D53CBE" w14:textId="77777777" w:rsidR="00977082" w:rsidRPr="008B5719" w:rsidRDefault="00977082" w:rsidP="00977082">
      <w:pPr>
        <w:autoSpaceDE w:val="0"/>
        <w:autoSpaceDN w:val="0"/>
        <w:rPr>
          <w:rFonts w:ascii="Times New Roman" w:eastAsia="Times New Roman" w:hAnsi="Times New Roman" w:cs="Times New Roman"/>
          <w:bCs/>
          <w:i/>
          <w:sz w:val="20"/>
        </w:rPr>
      </w:pPr>
      <w:r w:rsidRPr="008B57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B57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B57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B5719">
        <w:rPr>
          <w:rFonts w:ascii="Times New Roman" w:eastAsia="Times New Roman" w:hAnsi="Times New Roman" w:cs="Times New Roman"/>
          <w:b/>
          <w:bCs/>
          <w:sz w:val="20"/>
          <w:u w:val="single"/>
        </w:rPr>
        <w:t>Cairn University School of Business</w:t>
      </w:r>
    </w:p>
    <w:p w14:paraId="39882096" w14:textId="77777777" w:rsidR="00977082" w:rsidRPr="008B5719" w:rsidRDefault="00977082" w:rsidP="00977082">
      <w:pPr>
        <w:autoSpaceDE w:val="0"/>
        <w:autoSpaceDN w:val="0"/>
        <w:ind w:right="-720"/>
        <w:rPr>
          <w:rFonts w:ascii="Times New Roman" w:eastAsia="Times New Roman" w:hAnsi="Times New Roman" w:cs="Times New Roman"/>
          <w:bCs/>
          <w:sz w:val="20"/>
        </w:rPr>
      </w:pPr>
      <w:r w:rsidRPr="008B5719">
        <w:rPr>
          <w:rFonts w:ascii="Times New Roman" w:eastAsia="Times New Roman" w:hAnsi="Times New Roman" w:cs="Times New Roman"/>
          <w:b/>
          <w:bCs/>
          <w:sz w:val="20"/>
        </w:rPr>
        <w:tab/>
      </w:r>
      <w:r w:rsidRPr="008B5719">
        <w:rPr>
          <w:rFonts w:ascii="Times New Roman" w:eastAsia="Times New Roman" w:hAnsi="Times New Roman" w:cs="Times New Roman"/>
          <w:b/>
          <w:bCs/>
          <w:sz w:val="20"/>
        </w:rPr>
        <w:tab/>
      </w:r>
      <w:r w:rsidRPr="008B5719">
        <w:rPr>
          <w:rFonts w:ascii="Times New Roman" w:eastAsia="Times New Roman" w:hAnsi="Times New Roman" w:cs="Times New Roman"/>
          <w:b/>
          <w:bCs/>
          <w:sz w:val="20"/>
        </w:rPr>
        <w:tab/>
      </w:r>
      <w:r w:rsidRPr="008B5719">
        <w:rPr>
          <w:rFonts w:ascii="Times New Roman" w:eastAsia="Times New Roman" w:hAnsi="Times New Roman" w:cs="Times New Roman"/>
          <w:bCs/>
          <w:sz w:val="20"/>
        </w:rPr>
        <w:tab/>
        <w:t>B.S., Business Administration, 2005</w:t>
      </w:r>
    </w:p>
    <w:p w14:paraId="3656F2FC" w14:textId="77777777" w:rsidR="00977082" w:rsidRPr="008B5719" w:rsidRDefault="00977082" w:rsidP="00977082">
      <w:pPr>
        <w:autoSpaceDE w:val="0"/>
        <w:autoSpaceDN w:val="0"/>
        <w:ind w:left="2160" w:right="-720"/>
        <w:rPr>
          <w:rFonts w:ascii="Times New Roman" w:eastAsia="Times New Roman" w:hAnsi="Times New Roman" w:cs="Times New Roman"/>
          <w:i/>
          <w:iCs/>
          <w:sz w:val="20"/>
        </w:rPr>
      </w:pPr>
    </w:p>
    <w:p w14:paraId="40B474E1" w14:textId="77777777" w:rsidR="00977082" w:rsidRPr="008B5719" w:rsidRDefault="00977082" w:rsidP="00977082">
      <w:pPr>
        <w:keepNext/>
        <w:autoSpaceDE w:val="0"/>
        <w:autoSpaceDN w:val="0"/>
        <w:ind w:left="2160" w:right="-720"/>
        <w:outlineLvl w:val="6"/>
        <w:rPr>
          <w:rFonts w:ascii="Times New Roman" w:eastAsia="Times New Roman" w:hAnsi="Times New Roman" w:cs="Times New Roman"/>
          <w:b/>
          <w:bCs/>
          <w:sz w:val="20"/>
          <w:u w:val="single"/>
        </w:rPr>
      </w:pPr>
      <w:r w:rsidRPr="008B5719">
        <w:rPr>
          <w:rFonts w:ascii="Times New Roman" w:eastAsia="Times New Roman" w:hAnsi="Times New Roman" w:cs="Times New Roman"/>
          <w:b/>
          <w:bCs/>
          <w:sz w:val="20"/>
          <w:u w:val="single"/>
        </w:rPr>
        <w:t>Temple University, Fox School of Business</w:t>
      </w:r>
    </w:p>
    <w:p w14:paraId="65F4B294" w14:textId="77777777" w:rsidR="00977082" w:rsidRPr="008B5719" w:rsidRDefault="00977082" w:rsidP="00977082">
      <w:pPr>
        <w:autoSpaceDE w:val="0"/>
        <w:autoSpaceDN w:val="0"/>
        <w:ind w:left="2880" w:right="-720"/>
        <w:rPr>
          <w:rFonts w:ascii="Times New Roman" w:eastAsia="Times New Roman" w:hAnsi="Times New Roman" w:cs="Times New Roman"/>
          <w:sz w:val="20"/>
        </w:rPr>
      </w:pPr>
      <w:r w:rsidRPr="008B5719">
        <w:rPr>
          <w:rFonts w:ascii="Times New Roman" w:eastAsia="Times New Roman" w:hAnsi="Times New Roman" w:cs="Times New Roman"/>
          <w:sz w:val="20"/>
        </w:rPr>
        <w:t>Master of Business Administration (MBA), 2010</w:t>
      </w:r>
      <w:r w:rsidRPr="008B5719">
        <w:rPr>
          <w:rFonts w:ascii="Times New Roman" w:eastAsia="Times New Roman" w:hAnsi="Times New Roman" w:cs="Times New Roman"/>
          <w:sz w:val="20"/>
          <w:szCs w:val="20"/>
        </w:rPr>
        <w:tab/>
      </w:r>
      <w:r w:rsidRPr="008B5719">
        <w:rPr>
          <w:rFonts w:ascii="Times New Roman" w:eastAsia="Times New Roman" w:hAnsi="Times New Roman" w:cs="Times New Roman"/>
          <w:sz w:val="20"/>
          <w:szCs w:val="20"/>
        </w:rPr>
        <w:tab/>
      </w:r>
      <w:r w:rsidRPr="008B5719">
        <w:rPr>
          <w:rFonts w:ascii="Times New Roman" w:eastAsia="Times New Roman" w:hAnsi="Times New Roman" w:cs="Times New Roman"/>
          <w:sz w:val="20"/>
          <w:szCs w:val="20"/>
        </w:rPr>
        <w:tab/>
      </w:r>
      <w:r w:rsidRPr="008B571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773C59C" w14:textId="77777777" w:rsidR="00977082" w:rsidRPr="008B5719" w:rsidRDefault="00977082" w:rsidP="00977082">
      <w:pPr>
        <w:autoSpaceDE w:val="0"/>
        <w:autoSpaceDN w:val="0"/>
        <w:adjustRightInd w:val="0"/>
        <w:ind w:left="1440" w:right="-1440" w:firstLine="720"/>
        <w:rPr>
          <w:rFonts w:ascii="Times New Roman" w:eastAsia="Times New Roman" w:hAnsi="Times New Roman" w:cs="Times New Roman"/>
          <w:sz w:val="20"/>
        </w:rPr>
      </w:pPr>
    </w:p>
    <w:p w14:paraId="2F70D674" w14:textId="77777777" w:rsidR="00977082" w:rsidRPr="008B5719" w:rsidRDefault="00977082" w:rsidP="00977082">
      <w:pPr>
        <w:autoSpaceDE w:val="0"/>
        <w:autoSpaceDN w:val="0"/>
        <w:adjustRightInd w:val="0"/>
        <w:ind w:left="1440" w:right="-1440" w:firstLine="72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8B5719">
        <w:rPr>
          <w:rFonts w:ascii="Times New Roman" w:eastAsia="Times New Roman" w:hAnsi="Times New Roman" w:cs="Times New Roman"/>
          <w:b/>
          <w:sz w:val="20"/>
          <w:u w:val="single"/>
        </w:rPr>
        <w:t>American Bankruptcy Institute</w:t>
      </w:r>
    </w:p>
    <w:p w14:paraId="16DFDF75" w14:textId="77777777" w:rsidR="00977082" w:rsidRPr="008B5719" w:rsidRDefault="00977082" w:rsidP="00977082">
      <w:pPr>
        <w:autoSpaceDE w:val="0"/>
        <w:autoSpaceDN w:val="0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sz w:val="20"/>
        </w:rPr>
        <w:tab/>
      </w:r>
      <w:r w:rsidRPr="008B5719">
        <w:rPr>
          <w:rFonts w:ascii="Times New Roman" w:eastAsia="Times New Roman" w:hAnsi="Times New Roman" w:cs="Times New Roman"/>
          <w:sz w:val="20"/>
        </w:rPr>
        <w:tab/>
      </w:r>
      <w:r w:rsidRPr="008B5719">
        <w:rPr>
          <w:rFonts w:ascii="Times New Roman" w:eastAsia="Times New Roman" w:hAnsi="Times New Roman" w:cs="Times New Roman"/>
          <w:sz w:val="20"/>
          <w:szCs w:val="20"/>
        </w:rPr>
        <w:t>Nuts &amp; Bolts:  Bankruptcy Fundamentals for Young and New Practitioners, April 2013</w:t>
      </w:r>
    </w:p>
    <w:p w14:paraId="258C51A4" w14:textId="77777777" w:rsidR="00977082" w:rsidRPr="008B5719" w:rsidRDefault="00977082" w:rsidP="00977082">
      <w:pPr>
        <w:autoSpaceDE w:val="0"/>
        <w:autoSpaceDN w:val="0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B5719">
        <w:rPr>
          <w:rFonts w:ascii="Times New Roman" w:eastAsia="Times New Roman" w:hAnsi="Times New Roman" w:cs="Times New Roman"/>
          <w:sz w:val="20"/>
          <w:szCs w:val="20"/>
        </w:rPr>
        <w:t>American Bankruptcy Institute Litigation Skills Symposium, May 201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1324B4A8" w14:textId="77777777" w:rsidR="00977082" w:rsidRPr="008B5719" w:rsidRDefault="00977082" w:rsidP="00977082">
      <w:pPr>
        <w:autoSpaceDE w:val="0"/>
        <w:autoSpaceDN w:val="0"/>
        <w:adjustRightInd w:val="0"/>
        <w:ind w:left="1440" w:right="-1440" w:firstLine="720"/>
        <w:rPr>
          <w:rFonts w:ascii="Times New Roman" w:eastAsia="Times New Roman" w:hAnsi="Times New Roman" w:cs="Times New Roman"/>
          <w:sz w:val="20"/>
        </w:rPr>
      </w:pPr>
    </w:p>
    <w:p w14:paraId="02334DBA" w14:textId="77777777" w:rsidR="00977082" w:rsidRPr="008445A4" w:rsidRDefault="00977082" w:rsidP="00977082">
      <w:pPr>
        <w:rPr>
          <w:rFonts w:ascii="Times" w:hAnsi="Times"/>
        </w:rPr>
      </w:pPr>
    </w:p>
    <w:p w14:paraId="053990FF" w14:textId="77777777" w:rsidR="00341EBA" w:rsidRPr="008445A4" w:rsidRDefault="00341EBA" w:rsidP="0078290D">
      <w:pPr>
        <w:rPr>
          <w:rFonts w:ascii="Times" w:hAnsi="Times"/>
        </w:rPr>
      </w:pPr>
    </w:p>
    <w:sectPr w:rsidR="00341EBA" w:rsidRPr="008445A4" w:rsidSect="00341EB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600" w:right="720" w:bottom="1872" w:left="1008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3075" w14:textId="77777777" w:rsidR="00EF35B0" w:rsidRDefault="00EF35B0" w:rsidP="00C802F2">
      <w:r>
        <w:separator/>
      </w:r>
    </w:p>
  </w:endnote>
  <w:endnote w:type="continuationSeparator" w:id="0">
    <w:p w14:paraId="55ED8DF8" w14:textId="77777777" w:rsidR="00EF35B0" w:rsidRDefault="00EF35B0" w:rsidP="00C8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20B0604020202020204"/>
    <w:charset w:val="00"/>
    <w:family w:val="auto"/>
    <w:notTrueType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19E0" w14:textId="77777777" w:rsidR="0078290D" w:rsidRDefault="00933BB4">
    <w:pPr>
      <w:pStyle w:val="Footer"/>
    </w:pPr>
    <w:r w:rsidRPr="001744DD">
      <w:rPr>
        <w:rFonts w:hint="eastAsia"/>
        <w:noProof/>
      </w:rPr>
      <w:drawing>
        <wp:anchor distT="0" distB="0" distL="114300" distR="114300" simplePos="0" relativeHeight="251670528" behindDoc="0" locked="0" layoutInCell="1" allowOverlap="1" wp14:anchorId="47541E9F" wp14:editId="0127819F">
          <wp:simplePos x="0" y="0"/>
          <wp:positionH relativeFrom="column">
            <wp:posOffset>-640080</wp:posOffset>
          </wp:positionH>
          <wp:positionV relativeFrom="paragraph">
            <wp:posOffset>-389255</wp:posOffset>
          </wp:positionV>
          <wp:extent cx="7772400" cy="561975"/>
          <wp:effectExtent l="0" t="0" r="0" b="0"/>
          <wp:wrapTopAndBottom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olmonese_p2_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682"/>
                  <a:stretch/>
                </pic:blipFill>
                <pic:spPr bwMode="auto">
                  <a:xfrm>
                    <a:off x="0" y="0"/>
                    <a:ext cx="777240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71E2" w14:textId="77777777" w:rsidR="0078290D" w:rsidRPr="00227858" w:rsidRDefault="0078290D" w:rsidP="00227858">
    <w:pPr>
      <w:pStyle w:val="Footer"/>
    </w:pPr>
    <w:r w:rsidRPr="001744DD">
      <w:rPr>
        <w:rFonts w:hint="eastAsia"/>
        <w:noProof/>
      </w:rPr>
      <w:drawing>
        <wp:anchor distT="0" distB="0" distL="114300" distR="114300" simplePos="0" relativeHeight="251668480" behindDoc="0" locked="0" layoutInCell="1" allowOverlap="1" wp14:anchorId="372D48E6" wp14:editId="5F525F51">
          <wp:simplePos x="0" y="0"/>
          <wp:positionH relativeFrom="column">
            <wp:posOffset>-640080</wp:posOffset>
          </wp:positionH>
          <wp:positionV relativeFrom="paragraph">
            <wp:posOffset>-1014730</wp:posOffset>
          </wp:positionV>
          <wp:extent cx="7772400" cy="1181100"/>
          <wp:effectExtent l="0" t="0" r="0" b="0"/>
          <wp:wrapTopAndBottom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olmonese_p2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BDC8" w14:textId="77777777" w:rsidR="00EF35B0" w:rsidRDefault="00EF35B0" w:rsidP="00C802F2">
      <w:r>
        <w:separator/>
      </w:r>
    </w:p>
  </w:footnote>
  <w:footnote w:type="continuationSeparator" w:id="0">
    <w:p w14:paraId="36F261B3" w14:textId="77777777" w:rsidR="00EF35B0" w:rsidRDefault="00EF35B0" w:rsidP="00C8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FC3E" w14:textId="77777777" w:rsidR="0078290D" w:rsidRDefault="0039359A" w:rsidP="008725F7">
    <w:pPr>
      <w:pStyle w:val="Head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78290D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7A828F8A" w14:textId="77777777" w:rsidR="0078290D" w:rsidRDefault="0078290D" w:rsidP="00210DC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82C9" w14:textId="77777777" w:rsidR="0078290D" w:rsidRDefault="00977082" w:rsidP="00210DC1">
    <w:pPr>
      <w:pStyle w:val="Head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9C0886" wp14:editId="20FFF491">
              <wp:simplePos x="0" y="0"/>
              <wp:positionH relativeFrom="column">
                <wp:posOffset>-3977</wp:posOffset>
              </wp:positionH>
              <wp:positionV relativeFrom="paragraph">
                <wp:posOffset>1232452</wp:posOffset>
              </wp:positionV>
              <wp:extent cx="2965837" cy="228600"/>
              <wp:effectExtent l="0" t="0" r="635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5837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F965E" w14:textId="29AAD4FA" w:rsidR="0078290D" w:rsidRPr="00110CD1" w:rsidRDefault="00977082">
                          <w:pPr>
                            <w:rPr>
                              <w:rFonts w:ascii="Times" w:hAnsi="Times"/>
                              <w:b/>
                              <w:bCs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bCs/>
                              <w:color w:val="595959" w:themeColor="text1" w:themeTint="A6"/>
                            </w:rPr>
                            <w:t xml:space="preserve">Curriculum Vitae – </w:t>
                          </w:r>
                          <w:proofErr w:type="gramStart"/>
                          <w:r w:rsidR="00620B84">
                            <w:rPr>
                              <w:rFonts w:ascii="Times" w:hAnsi="Times"/>
                              <w:b/>
                              <w:bCs/>
                              <w:color w:val="595959" w:themeColor="text1" w:themeTint="A6"/>
                            </w:rPr>
                            <w:t>July</w:t>
                          </w:r>
                          <w:r>
                            <w:rPr>
                              <w:rFonts w:ascii="Times" w:hAnsi="Times"/>
                              <w:b/>
                              <w:bCs/>
                              <w:color w:val="595959" w:themeColor="text1" w:themeTint="A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Times" w:hAnsi="Times"/>
                              <w:b/>
                              <w:bCs/>
                              <w:color w:val="595959" w:themeColor="text1" w:themeTint="A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C088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-.3pt;margin-top:97.05pt;width:233.5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" filled="f" stroked="f">
              <v:path arrowok="t"/>
              <v:textbox inset="0,0,0,0">
                <w:txbxContent>
                  <w:p w14:paraId="761F965E" w14:textId="29AAD4FA" w:rsidR="0078290D" w:rsidRPr="00110CD1" w:rsidRDefault="00977082">
                    <w:pPr>
                      <w:rPr>
                        <w:rFonts w:ascii="Times" w:hAnsi="Times"/>
                        <w:b/>
                        <w:bCs/>
                        <w:color w:val="595959" w:themeColor="text1" w:themeTint="A6"/>
                      </w:rPr>
                    </w:pPr>
                    <w:r>
                      <w:rPr>
                        <w:rFonts w:ascii="Times" w:hAnsi="Times"/>
                        <w:b/>
                        <w:bCs/>
                        <w:color w:val="595959" w:themeColor="text1" w:themeTint="A6"/>
                      </w:rPr>
                      <w:t xml:space="preserve">Curriculum Vitae – </w:t>
                    </w:r>
                    <w:proofErr w:type="gramStart"/>
                    <w:r w:rsidR="00620B84">
                      <w:rPr>
                        <w:rFonts w:ascii="Times" w:hAnsi="Times"/>
                        <w:b/>
                        <w:bCs/>
                        <w:color w:val="595959" w:themeColor="text1" w:themeTint="A6"/>
                      </w:rPr>
                      <w:t>July</w:t>
                    </w:r>
                    <w:r>
                      <w:rPr>
                        <w:rFonts w:ascii="Times" w:hAnsi="Times"/>
                        <w:b/>
                        <w:bCs/>
                        <w:color w:val="595959" w:themeColor="text1" w:themeTint="A6"/>
                      </w:rPr>
                      <w:t>,</w:t>
                    </w:r>
                    <w:proofErr w:type="gramEnd"/>
                    <w:r>
                      <w:rPr>
                        <w:rFonts w:ascii="Times" w:hAnsi="Times"/>
                        <w:b/>
                        <w:bCs/>
                        <w:color w:val="595959" w:themeColor="text1" w:themeTint="A6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 w:rsidR="0064139F">
      <w:rPr>
        <w:rFonts w:hint="eastAsia"/>
        <w:noProof/>
      </w:rPr>
      <w:drawing>
        <wp:anchor distT="0" distB="0" distL="114300" distR="114300" simplePos="0" relativeHeight="251672576" behindDoc="1" locked="0" layoutInCell="1" allowOverlap="1" wp14:anchorId="16562A22" wp14:editId="029B0A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82414"/>
          <wp:effectExtent l="0" t="0" r="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olmonese_p1_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778"/>
                  <a:stretch/>
                </pic:blipFill>
                <pic:spPr bwMode="auto">
                  <a:xfrm>
                    <a:off x="0" y="0"/>
                    <a:ext cx="7772400" cy="1182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F40C8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ECF583" wp14:editId="6D934F3F">
              <wp:simplePos x="0" y="0"/>
              <wp:positionH relativeFrom="column">
                <wp:posOffset>0</wp:posOffset>
              </wp:positionH>
              <wp:positionV relativeFrom="paragraph">
                <wp:posOffset>1417320</wp:posOffset>
              </wp:positionV>
              <wp:extent cx="2743200" cy="29718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27C15" w14:textId="77777777" w:rsidR="0078290D" w:rsidRPr="009048AC" w:rsidRDefault="0078290D">
                          <w:pPr>
                            <w:rPr>
                              <w:rFonts w:ascii="Times" w:hAnsi="Times"/>
                              <w:i/>
                              <w:iCs/>
                              <w:color w:val="595959" w:themeColor="text1" w:themeTint="A6"/>
                            </w:rPr>
                          </w:pPr>
                          <w:r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t xml:space="preserve">Page </w: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begin"/>
                          </w:r>
                          <w:r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instrText xml:space="preserve"> PAGE </w:instrTex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separate"/>
                          </w:r>
                          <w:r w:rsidR="0064139F"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color w:val="595959" w:themeColor="text1" w:themeTint="A6"/>
                            </w:rPr>
                            <w:t>2</w: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end"/>
                          </w:r>
                          <w:r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t xml:space="preserve"> of </w: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begin"/>
                          </w:r>
                          <w:r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instrText xml:space="preserve"> NUMPAGES </w:instrTex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separate"/>
                          </w:r>
                          <w:r w:rsidR="0064139F"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color w:val="595959" w:themeColor="text1" w:themeTint="A6"/>
                            </w:rPr>
                            <w:t>2</w: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CF583" id="Text Box 29" o:spid="_x0000_s1027" type="#_x0000_t202" style="position:absolute;left:0;text-align:left;margin-left:0;margin-top:111.6pt;width:3in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" filled="f" stroked="f">
              <v:path arrowok="t"/>
              <v:textbox inset="0,,0,0">
                <w:txbxContent>
                  <w:p w14:paraId="70227C15" w14:textId="77777777" w:rsidR="0078290D" w:rsidRPr="009048AC" w:rsidRDefault="0078290D">
                    <w:pPr>
                      <w:rPr>
                        <w:rFonts w:ascii="Times" w:hAnsi="Times"/>
                        <w:i/>
                        <w:iCs/>
                        <w:color w:val="595959" w:themeColor="text1" w:themeTint="A6"/>
                      </w:rPr>
                    </w:pPr>
                    <w:r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t xml:space="preserve">Page </w: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begin"/>
                    </w:r>
                    <w:r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instrText xml:space="preserve"> PAGE </w:instrTex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separate"/>
                    </w:r>
                    <w:r w:rsidR="0064139F">
                      <w:rPr>
                        <w:rFonts w:ascii="Times New Roman" w:hAnsi="Times New Roman" w:cs="Times New Roman"/>
                        <w:i/>
                        <w:iCs/>
                        <w:noProof/>
                        <w:color w:val="595959" w:themeColor="text1" w:themeTint="A6"/>
                      </w:rPr>
                      <w:t>2</w: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end"/>
                    </w:r>
                    <w:r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t xml:space="preserve"> of </w: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begin"/>
                    </w:r>
                    <w:r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instrText xml:space="preserve"> NUMPAGES </w:instrTex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separate"/>
                    </w:r>
                    <w:r w:rsidR="0064139F">
                      <w:rPr>
                        <w:rFonts w:ascii="Times New Roman" w:hAnsi="Times New Roman" w:cs="Times New Roman"/>
                        <w:i/>
                        <w:iCs/>
                        <w:noProof/>
                        <w:color w:val="595959" w:themeColor="text1" w:themeTint="A6"/>
                      </w:rPr>
                      <w:t>2</w: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5DE0" w14:textId="77777777" w:rsidR="0078290D" w:rsidRDefault="0039359A" w:rsidP="008725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78290D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16300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8645315" w14:textId="77777777" w:rsidR="0078290D" w:rsidRDefault="00977082" w:rsidP="008725F7">
    <w:pPr>
      <w:pStyle w:val="Header"/>
      <w:ind w:left="720"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A46BA7" wp14:editId="35C2DD08">
              <wp:simplePos x="0" y="0"/>
              <wp:positionH relativeFrom="column">
                <wp:posOffset>-3976</wp:posOffset>
              </wp:positionH>
              <wp:positionV relativeFrom="paragraph">
                <wp:posOffset>1160559</wp:posOffset>
              </wp:positionV>
              <wp:extent cx="2965837" cy="228600"/>
              <wp:effectExtent l="0" t="0" r="6350" b="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5837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5F9F5" w14:textId="503E39EE" w:rsidR="00977082" w:rsidRPr="00110CD1" w:rsidRDefault="00977082" w:rsidP="00977082">
                          <w:pPr>
                            <w:rPr>
                              <w:rFonts w:ascii="Times" w:hAnsi="Times"/>
                              <w:b/>
                              <w:bCs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bCs/>
                              <w:color w:val="595959" w:themeColor="text1" w:themeTint="A6"/>
                            </w:rPr>
                            <w:t xml:space="preserve">Curriculum Vitae - </w:t>
                          </w:r>
                          <w:proofErr w:type="gramStart"/>
                          <w:r w:rsidR="008D2FE1">
                            <w:rPr>
                              <w:rFonts w:ascii="Times" w:hAnsi="Times"/>
                              <w:b/>
                              <w:bCs/>
                              <w:color w:val="595959" w:themeColor="text1" w:themeTint="A6"/>
                            </w:rPr>
                            <w:t>July</w:t>
                          </w:r>
                          <w:r>
                            <w:rPr>
                              <w:rFonts w:ascii="Times" w:hAnsi="Times"/>
                              <w:b/>
                              <w:bCs/>
                              <w:color w:val="595959" w:themeColor="text1" w:themeTint="A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Times" w:hAnsi="Times"/>
                              <w:b/>
                              <w:bCs/>
                              <w:color w:val="595959" w:themeColor="text1" w:themeTint="A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46B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pt;margin-top:91.4pt;width:233.5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" filled="f" stroked="f">
              <v:path arrowok="t"/>
              <v:textbox inset="0,0,0,0">
                <w:txbxContent>
                  <w:p w14:paraId="58C5F9F5" w14:textId="503E39EE" w:rsidR="00977082" w:rsidRPr="00110CD1" w:rsidRDefault="00977082" w:rsidP="00977082">
                    <w:pPr>
                      <w:rPr>
                        <w:rFonts w:ascii="Times" w:hAnsi="Times"/>
                        <w:b/>
                        <w:bCs/>
                        <w:color w:val="595959" w:themeColor="text1" w:themeTint="A6"/>
                      </w:rPr>
                    </w:pPr>
                    <w:r>
                      <w:rPr>
                        <w:rFonts w:ascii="Times" w:hAnsi="Times"/>
                        <w:b/>
                        <w:bCs/>
                        <w:color w:val="595959" w:themeColor="text1" w:themeTint="A6"/>
                      </w:rPr>
                      <w:t xml:space="preserve">Curriculum Vitae - </w:t>
                    </w:r>
                    <w:proofErr w:type="gramStart"/>
                    <w:r w:rsidR="008D2FE1">
                      <w:rPr>
                        <w:rFonts w:ascii="Times" w:hAnsi="Times"/>
                        <w:b/>
                        <w:bCs/>
                        <w:color w:val="595959" w:themeColor="text1" w:themeTint="A6"/>
                      </w:rPr>
                      <w:t>July</w:t>
                    </w:r>
                    <w:r>
                      <w:rPr>
                        <w:rFonts w:ascii="Times" w:hAnsi="Times"/>
                        <w:b/>
                        <w:bCs/>
                        <w:color w:val="595959" w:themeColor="text1" w:themeTint="A6"/>
                      </w:rPr>
                      <w:t>,</w:t>
                    </w:r>
                    <w:proofErr w:type="gramEnd"/>
                    <w:r>
                      <w:rPr>
                        <w:rFonts w:ascii="Times" w:hAnsi="Times"/>
                        <w:b/>
                        <w:bCs/>
                        <w:color w:val="595959" w:themeColor="text1" w:themeTint="A6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 w:rsidR="0078290D">
      <w:rPr>
        <w:rFonts w:hint="eastAsia"/>
        <w:noProof/>
      </w:rPr>
      <w:drawing>
        <wp:anchor distT="0" distB="0" distL="114300" distR="114300" simplePos="0" relativeHeight="251666432" behindDoc="0" locked="0" layoutInCell="1" allowOverlap="1" wp14:anchorId="0FA64869" wp14:editId="7934A913">
          <wp:simplePos x="0" y="0"/>
          <wp:positionH relativeFrom="column">
            <wp:posOffset>-640080</wp:posOffset>
          </wp:positionH>
          <wp:positionV relativeFrom="paragraph">
            <wp:posOffset>4445</wp:posOffset>
          </wp:positionV>
          <wp:extent cx="7772400" cy="2103120"/>
          <wp:effectExtent l="0" t="0" r="0" b="508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olmonese_p1_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10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C87">
      <w:rPr>
        <w:noProof/>
      </w:rPr>
      <mc:AlternateContent>
        <mc:Choice Requires="wps">
          <w:drawing>
            <wp:anchor distT="0" distB="0" distL="114300" distR="114300" simplePos="0" relativeHeight="251665919" behindDoc="0" locked="0" layoutInCell="1" allowOverlap="1" wp14:anchorId="7447424C" wp14:editId="6CC75C50">
              <wp:simplePos x="0" y="0"/>
              <wp:positionH relativeFrom="column">
                <wp:posOffset>0</wp:posOffset>
              </wp:positionH>
              <wp:positionV relativeFrom="paragraph">
                <wp:posOffset>1569720</wp:posOffset>
              </wp:positionV>
              <wp:extent cx="2743200" cy="29718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BFEF3B0" w14:textId="77777777" w:rsidR="0078290D" w:rsidRPr="009048AC" w:rsidRDefault="0078290D" w:rsidP="008725F7">
                          <w:pPr>
                            <w:rPr>
                              <w:rFonts w:ascii="Times" w:hAnsi="Times"/>
                              <w:i/>
                              <w:iCs/>
                              <w:color w:val="595959" w:themeColor="text1" w:themeTint="A6"/>
                            </w:rPr>
                          </w:pPr>
                          <w:r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t xml:space="preserve">Page </w: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begin"/>
                          </w:r>
                          <w:r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instrText xml:space="preserve"> PAGE </w:instrTex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separate"/>
                          </w:r>
                          <w:r w:rsidR="00516300"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color w:val="595959" w:themeColor="text1" w:themeTint="A6"/>
                            </w:rPr>
                            <w:t>1</w: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end"/>
                          </w:r>
                          <w:r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t xml:space="preserve"> of </w: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begin"/>
                          </w:r>
                          <w:r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instrText xml:space="preserve"> NUMPAGES </w:instrTex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separate"/>
                          </w:r>
                          <w:r w:rsidR="00516300"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color w:val="595959" w:themeColor="text1" w:themeTint="A6"/>
                            </w:rPr>
                            <w:t>1</w:t>
                          </w:r>
                          <w:r w:rsidR="0039359A" w:rsidRPr="008725F7">
                            <w:rPr>
                              <w:rFonts w:ascii="Times New Roman" w:hAnsi="Times New Roman" w:cs="Times New Roman"/>
                              <w:i/>
                              <w:iCs/>
                              <w:color w:val="595959" w:themeColor="text1" w:themeTint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47424C" id="Text Box 17" o:spid="_x0000_s1029" type="#_x0000_t202" style="position:absolute;left:0;text-align:left;margin-left:0;margin-top:123.6pt;width:3in;height:23.4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" filled="f" stroked="f">
              <v:textbox inset="0,,0,0">
                <w:txbxContent>
                  <w:p w14:paraId="7BFEF3B0" w14:textId="77777777" w:rsidR="0078290D" w:rsidRPr="009048AC" w:rsidRDefault="0078290D" w:rsidP="008725F7">
                    <w:pPr>
                      <w:rPr>
                        <w:rFonts w:ascii="Times" w:hAnsi="Times"/>
                        <w:i/>
                        <w:iCs/>
                        <w:color w:val="595959" w:themeColor="text1" w:themeTint="A6"/>
                      </w:rPr>
                    </w:pPr>
                    <w:r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t xml:space="preserve">Page </w: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begin"/>
                    </w:r>
                    <w:r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instrText xml:space="preserve"> PAGE </w:instrTex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separate"/>
                    </w:r>
                    <w:r w:rsidR="00516300">
                      <w:rPr>
                        <w:rFonts w:ascii="Times New Roman" w:hAnsi="Times New Roman" w:cs="Times New Roman"/>
                        <w:i/>
                        <w:iCs/>
                        <w:noProof/>
                        <w:color w:val="595959" w:themeColor="text1" w:themeTint="A6"/>
                      </w:rPr>
                      <w:t>1</w: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end"/>
                    </w:r>
                    <w:r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t xml:space="preserve"> of </w: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begin"/>
                    </w:r>
                    <w:r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instrText xml:space="preserve"> NUMPAGES </w:instrTex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separate"/>
                    </w:r>
                    <w:r w:rsidR="00516300">
                      <w:rPr>
                        <w:rFonts w:ascii="Times New Roman" w:hAnsi="Times New Roman" w:cs="Times New Roman"/>
                        <w:i/>
                        <w:iCs/>
                        <w:noProof/>
                        <w:color w:val="595959" w:themeColor="text1" w:themeTint="A6"/>
                      </w:rPr>
                      <w:t>1</w:t>
                    </w:r>
                    <w:r w:rsidR="0039359A" w:rsidRPr="008725F7">
                      <w:rPr>
                        <w:rFonts w:ascii="Times New Roman" w:hAnsi="Times New Roman" w:cs="Times New Roman"/>
                        <w:i/>
                        <w:iCs/>
                        <w:color w:val="595959" w:themeColor="text1" w:themeTint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F2"/>
    <w:rsid w:val="00026EC1"/>
    <w:rsid w:val="000438A7"/>
    <w:rsid w:val="000453E5"/>
    <w:rsid w:val="0005667C"/>
    <w:rsid w:val="0009484D"/>
    <w:rsid w:val="00097A0A"/>
    <w:rsid w:val="000A214F"/>
    <w:rsid w:val="000A6B8D"/>
    <w:rsid w:val="000D121E"/>
    <w:rsid w:val="00110CD1"/>
    <w:rsid w:val="001744DD"/>
    <w:rsid w:val="001844E4"/>
    <w:rsid w:val="00197E6F"/>
    <w:rsid w:val="001B4240"/>
    <w:rsid w:val="001E32D8"/>
    <w:rsid w:val="00210DC1"/>
    <w:rsid w:val="002166A8"/>
    <w:rsid w:val="00227858"/>
    <w:rsid w:val="00281943"/>
    <w:rsid w:val="0028567C"/>
    <w:rsid w:val="003027FE"/>
    <w:rsid w:val="00341EBA"/>
    <w:rsid w:val="00354C43"/>
    <w:rsid w:val="0039359A"/>
    <w:rsid w:val="00421A62"/>
    <w:rsid w:val="00433AC0"/>
    <w:rsid w:val="00434A3A"/>
    <w:rsid w:val="00474D78"/>
    <w:rsid w:val="004B1576"/>
    <w:rsid w:val="004C0548"/>
    <w:rsid w:val="004E0F5C"/>
    <w:rsid w:val="005148D4"/>
    <w:rsid w:val="00516300"/>
    <w:rsid w:val="005229FC"/>
    <w:rsid w:val="00523A73"/>
    <w:rsid w:val="005271D7"/>
    <w:rsid w:val="00566706"/>
    <w:rsid w:val="00586323"/>
    <w:rsid w:val="005C7DDA"/>
    <w:rsid w:val="00620B84"/>
    <w:rsid w:val="0064139F"/>
    <w:rsid w:val="00670251"/>
    <w:rsid w:val="00677745"/>
    <w:rsid w:val="006B72CE"/>
    <w:rsid w:val="006F5D79"/>
    <w:rsid w:val="0070566A"/>
    <w:rsid w:val="00771DE7"/>
    <w:rsid w:val="0078290D"/>
    <w:rsid w:val="007B239B"/>
    <w:rsid w:val="007C5E6C"/>
    <w:rsid w:val="007E1EB9"/>
    <w:rsid w:val="00810A3C"/>
    <w:rsid w:val="008445A4"/>
    <w:rsid w:val="008725F7"/>
    <w:rsid w:val="008A2F12"/>
    <w:rsid w:val="008D2FE1"/>
    <w:rsid w:val="009048AC"/>
    <w:rsid w:val="00905557"/>
    <w:rsid w:val="00933BB4"/>
    <w:rsid w:val="00942725"/>
    <w:rsid w:val="00964120"/>
    <w:rsid w:val="00977082"/>
    <w:rsid w:val="0098262D"/>
    <w:rsid w:val="009E2F7C"/>
    <w:rsid w:val="00A233AC"/>
    <w:rsid w:val="00A567EB"/>
    <w:rsid w:val="00A86BDF"/>
    <w:rsid w:val="00B025DE"/>
    <w:rsid w:val="00B02D4C"/>
    <w:rsid w:val="00B50081"/>
    <w:rsid w:val="00BF57C9"/>
    <w:rsid w:val="00C57BBF"/>
    <w:rsid w:val="00C802F2"/>
    <w:rsid w:val="00DC3495"/>
    <w:rsid w:val="00DE6C17"/>
    <w:rsid w:val="00EB6901"/>
    <w:rsid w:val="00EF35B0"/>
    <w:rsid w:val="00F40C87"/>
    <w:rsid w:val="00F505BE"/>
    <w:rsid w:val="00F57097"/>
    <w:rsid w:val="00FB074C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E77600"/>
  <w15:docId w15:val="{5761512D-3F52-2946-9686-1E2E846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F2"/>
  </w:style>
  <w:style w:type="paragraph" w:styleId="Footer">
    <w:name w:val="footer"/>
    <w:basedOn w:val="Normal"/>
    <w:link w:val="FooterChar"/>
    <w:uiPriority w:val="99"/>
    <w:unhideWhenUsed/>
    <w:rsid w:val="00C80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F2"/>
  </w:style>
  <w:style w:type="paragraph" w:styleId="BalloonText">
    <w:name w:val="Balloon Text"/>
    <w:basedOn w:val="Normal"/>
    <w:link w:val="BalloonTextChar"/>
    <w:uiPriority w:val="99"/>
    <w:semiHidden/>
    <w:unhideWhenUsed/>
    <w:rsid w:val="00C80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F2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9826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C7DDA"/>
  </w:style>
  <w:style w:type="paragraph" w:styleId="Caption">
    <w:name w:val="caption"/>
    <w:basedOn w:val="Normal"/>
    <w:next w:val="Normal"/>
    <w:uiPriority w:val="35"/>
    <w:unhideWhenUsed/>
    <w:qFormat/>
    <w:rsid w:val="009048AC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166A8"/>
    <w:pPr>
      <w:jc w:val="right"/>
    </w:pPr>
    <w:rPr>
      <w:rFonts w:ascii="Times New Roman" w:eastAsia="Times New Roman" w:hAnsi="Times New Roman" w:cs="Times New Roman"/>
      <w:color w:val="C0C0C0"/>
    </w:rPr>
  </w:style>
  <w:style w:type="character" w:customStyle="1" w:styleId="BodyTextChar">
    <w:name w:val="Body Text Char"/>
    <w:basedOn w:val="DefaultParagraphFont"/>
    <w:link w:val="BodyText"/>
    <w:uiPriority w:val="99"/>
    <w:rsid w:val="002166A8"/>
    <w:rPr>
      <w:rFonts w:ascii="Times New Roman" w:eastAsia="Times New Roman" w:hAnsi="Times New Roman" w:cs="Times New Roman"/>
      <w:color w:val="C0C0C0"/>
    </w:rPr>
  </w:style>
  <w:style w:type="paragraph" w:styleId="Salutation">
    <w:name w:val="Salutation"/>
    <w:basedOn w:val="Normal"/>
    <w:link w:val="SalutationChar"/>
    <w:uiPriority w:val="99"/>
    <w:rsid w:val="002166A8"/>
    <w:rPr>
      <w:rFonts w:ascii="Times New Roman" w:eastAsia="Times New Roman" w:hAnsi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sid w:val="002166A8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rsid w:val="002166A8"/>
    <w:pPr>
      <w:ind w:left="4320"/>
    </w:pPr>
    <w:rPr>
      <w:rFonts w:ascii="Times New Roman" w:eastAsia="Times New Roman" w:hAnsi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2166A8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next w:val="Signature"/>
    <w:link w:val="ClosingChar"/>
    <w:uiPriority w:val="99"/>
    <w:rsid w:val="002166A8"/>
    <w:pPr>
      <w:keepNext/>
      <w:tabs>
        <w:tab w:val="left" w:pos="5040"/>
      </w:tabs>
      <w:spacing w:after="600" w:line="220" w:lineRule="atLeast"/>
      <w:jc w:val="both"/>
    </w:pPr>
    <w:rPr>
      <w:rFonts w:ascii="Times New Roman" w:eastAsia="Times New Roman" w:hAnsi="Times New Roman" w:cs="Times New Roman"/>
      <w:spacing w:val="-5"/>
    </w:rPr>
  </w:style>
  <w:style w:type="character" w:customStyle="1" w:styleId="ClosingChar">
    <w:name w:val="Closing Char"/>
    <w:basedOn w:val="DefaultParagraphFont"/>
    <w:link w:val="Closing"/>
    <w:uiPriority w:val="99"/>
    <w:rsid w:val="002166A8"/>
    <w:rPr>
      <w:rFonts w:ascii="Times New Roman" w:eastAsia="Times New Roman" w:hAnsi="Times New Roman" w:cs="Times New Roman"/>
      <w:spacing w:val="-5"/>
    </w:rPr>
  </w:style>
  <w:style w:type="paragraph" w:customStyle="1" w:styleId="FRLetterSig">
    <w:name w:val="FR: Letter Sig"/>
    <w:basedOn w:val="Normal"/>
    <w:uiPriority w:val="99"/>
    <w:rsid w:val="002166A8"/>
    <w:pPr>
      <w:ind w:left="5040"/>
    </w:pPr>
    <w:rPr>
      <w:rFonts w:ascii="Times New Roman" w:eastAsia="Times New Roman" w:hAnsi="Times New Roman" w:cs="Times New Roman"/>
    </w:rPr>
  </w:style>
  <w:style w:type="paragraph" w:customStyle="1" w:styleId="FRLetterInitials">
    <w:name w:val="FR: Letter Initials"/>
    <w:basedOn w:val="Normal"/>
    <w:uiPriority w:val="99"/>
    <w:rsid w:val="002166A8"/>
    <w:rPr>
      <w:rFonts w:ascii="Times New Roman" w:eastAsia="Times New Roman" w:hAnsi="Times New Roman" w:cs="Times New Roman"/>
    </w:rPr>
  </w:style>
  <w:style w:type="paragraph" w:customStyle="1" w:styleId="Style1">
    <w:name w:val="Style 1"/>
    <w:uiPriority w:val="99"/>
    <w:rsid w:val="002166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5D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D79"/>
  </w:style>
  <w:style w:type="paragraph" w:customStyle="1" w:styleId="Bullet1">
    <w:name w:val="Bullet 1"/>
    <w:basedOn w:val="Normal"/>
    <w:uiPriority w:val="99"/>
    <w:rsid w:val="006F5D79"/>
    <w:pPr>
      <w:spacing w:before="240"/>
      <w:ind w:left="540" w:hanging="540"/>
      <w:jc w:val="both"/>
    </w:pPr>
    <w:rPr>
      <w:rFonts w:ascii="Palatino" w:eastAsia="Times New Roman" w:hAnsi="Palatino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6F5D7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5D7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F5D79"/>
    <w:rPr>
      <w:rFonts w:cs="Times New Roman"/>
      <w:color w:val="0000FF"/>
      <w:u w:val="single"/>
    </w:rPr>
  </w:style>
  <w:style w:type="paragraph" w:styleId="MessageHeader">
    <w:name w:val="Message Header"/>
    <w:basedOn w:val="BodyText"/>
    <w:link w:val="MessageHeaderChar"/>
    <w:uiPriority w:val="99"/>
    <w:semiHidden/>
    <w:rsid w:val="006F5D79"/>
    <w:pPr>
      <w:keepLines/>
      <w:spacing w:line="415" w:lineRule="atLeast"/>
      <w:ind w:left="1560" w:hanging="720"/>
      <w:jc w:val="left"/>
    </w:pPr>
    <w:rPr>
      <w:color w:val="auto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5D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49367-EF84-E14B-AE9F-D3169169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LightStream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Reikmane</dc:creator>
  <cp:lastModifiedBy>Jeremy Vanetten</cp:lastModifiedBy>
  <cp:revision>6</cp:revision>
  <cp:lastPrinted>2016-01-22T04:22:00Z</cp:lastPrinted>
  <dcterms:created xsi:type="dcterms:W3CDTF">2023-07-10T18:01:00Z</dcterms:created>
  <dcterms:modified xsi:type="dcterms:W3CDTF">2023-07-10T19:06:00Z</dcterms:modified>
</cp:coreProperties>
</file>